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00" w:rsidRPr="00161C54" w:rsidRDefault="00010F00" w:rsidP="00010F00">
      <w:pPr>
        <w:autoSpaceDE w:val="0"/>
        <w:autoSpaceDN w:val="0"/>
        <w:adjustRightInd w:val="0"/>
        <w:spacing w:after="0" w:line="240" w:lineRule="auto"/>
        <w:rPr>
          <w:sz w:val="24"/>
          <w:szCs w:val="24"/>
        </w:rPr>
      </w:pPr>
      <w:r>
        <w:rPr>
          <w:sz w:val="24"/>
          <w:szCs w:val="24"/>
        </w:rPr>
        <w:t xml:space="preserve">На основу </w:t>
      </w:r>
      <w:r>
        <w:rPr>
          <w:sz w:val="24"/>
          <w:szCs w:val="24"/>
          <w:lang w:val="sr-Cyrl-CS"/>
        </w:rPr>
        <w:t xml:space="preserve">„Упутства за припрему одлуке о буџету локалне власти за 2017. годину и пројекција за 2018. и 2019. годину“ </w:t>
      </w:r>
      <w:r w:rsidR="004D1924">
        <w:rPr>
          <w:sz w:val="24"/>
          <w:szCs w:val="24"/>
          <w:lang w:val="sr-Cyrl-CS"/>
        </w:rPr>
        <w:t>од 16.11.2016. године</w:t>
      </w:r>
      <w:r w:rsidRPr="00161C54">
        <w:rPr>
          <w:sz w:val="24"/>
          <w:szCs w:val="24"/>
          <w:lang w:val="sr-Cyrl-CS"/>
        </w:rPr>
        <w:t xml:space="preserve">, </w:t>
      </w:r>
      <w:r w:rsidRPr="00161C54">
        <w:rPr>
          <w:sz w:val="24"/>
          <w:szCs w:val="24"/>
        </w:rPr>
        <w:t>Одељење за финансије и</w:t>
      </w:r>
      <w:r w:rsidRPr="00161C54">
        <w:rPr>
          <w:sz w:val="24"/>
          <w:szCs w:val="24"/>
          <w:lang w:val="sr-Cyrl-CS"/>
        </w:rPr>
        <w:t xml:space="preserve"> привреду </w:t>
      </w:r>
      <w:r w:rsidRPr="00161C54">
        <w:rPr>
          <w:sz w:val="24"/>
          <w:szCs w:val="24"/>
        </w:rPr>
        <w:t xml:space="preserve"> </w:t>
      </w:r>
      <w:r w:rsidRPr="00161C54">
        <w:rPr>
          <w:sz w:val="24"/>
          <w:szCs w:val="24"/>
          <w:lang w:val="sr-Cyrl-CS"/>
        </w:rPr>
        <w:t>Општин</w:t>
      </w:r>
      <w:r w:rsidRPr="00161C54">
        <w:rPr>
          <w:sz w:val="24"/>
          <w:szCs w:val="24"/>
        </w:rPr>
        <w:t xml:space="preserve">ске управе </w:t>
      </w:r>
      <w:r w:rsidRPr="00161C54">
        <w:rPr>
          <w:sz w:val="24"/>
          <w:szCs w:val="24"/>
          <w:lang w:val="sr-Cyrl-CS"/>
        </w:rPr>
        <w:t>Општине Владичин Хан</w:t>
      </w:r>
      <w:r w:rsidRPr="00161C54">
        <w:rPr>
          <w:sz w:val="24"/>
          <w:szCs w:val="24"/>
        </w:rPr>
        <w:t xml:space="preserve">, дана </w:t>
      </w:r>
      <w:r w:rsidR="004D1924">
        <w:rPr>
          <w:sz w:val="24"/>
          <w:szCs w:val="24"/>
          <w:lang w:val="sr-Cyrl-CS"/>
        </w:rPr>
        <w:t>18</w:t>
      </w:r>
      <w:r w:rsidRPr="00161C54">
        <w:rPr>
          <w:sz w:val="24"/>
          <w:szCs w:val="24"/>
        </w:rPr>
        <w:t>.</w:t>
      </w:r>
      <w:r w:rsidR="004D1924">
        <w:rPr>
          <w:sz w:val="24"/>
          <w:szCs w:val="24"/>
          <w:lang w:val="sr-Cyrl-CS"/>
        </w:rPr>
        <w:t>11</w:t>
      </w:r>
      <w:r w:rsidRPr="00161C54">
        <w:rPr>
          <w:sz w:val="24"/>
          <w:szCs w:val="24"/>
        </w:rPr>
        <w:t>.201</w:t>
      </w:r>
      <w:r w:rsidRPr="00161C54">
        <w:rPr>
          <w:sz w:val="24"/>
          <w:szCs w:val="24"/>
          <w:lang w:val="sr-Cyrl-CS"/>
        </w:rPr>
        <w:t>6</w:t>
      </w:r>
      <w:r w:rsidRPr="00161C54">
        <w:rPr>
          <w:sz w:val="24"/>
          <w:szCs w:val="24"/>
        </w:rPr>
        <w:t xml:space="preserve">. </w:t>
      </w:r>
      <w:proofErr w:type="gramStart"/>
      <w:r w:rsidRPr="00161C54">
        <w:rPr>
          <w:sz w:val="24"/>
          <w:szCs w:val="24"/>
        </w:rPr>
        <w:t>године</w:t>
      </w:r>
      <w:proofErr w:type="gramEnd"/>
      <w:r w:rsidRPr="00161C54">
        <w:rPr>
          <w:sz w:val="24"/>
          <w:szCs w:val="24"/>
        </w:rPr>
        <w:t xml:space="preserve">, доставља </w:t>
      </w:r>
      <w:r w:rsidRPr="00161C54">
        <w:rPr>
          <w:sz w:val="24"/>
          <w:szCs w:val="24"/>
          <w:lang w:val="sr-Cyrl-CS"/>
        </w:rPr>
        <w:t>корисницима буџета Општине Владичин Хан</w:t>
      </w:r>
      <w:r w:rsidRPr="00161C54">
        <w:rPr>
          <w:sz w:val="24"/>
          <w:szCs w:val="24"/>
        </w:rPr>
        <w:t>:</w:t>
      </w:r>
    </w:p>
    <w:p w:rsidR="00010F00" w:rsidRPr="00531768" w:rsidRDefault="00010F00" w:rsidP="00010F00">
      <w:pPr>
        <w:autoSpaceDE w:val="0"/>
        <w:autoSpaceDN w:val="0"/>
        <w:adjustRightInd w:val="0"/>
        <w:spacing w:after="0" w:line="240" w:lineRule="auto"/>
        <w:rPr>
          <w:sz w:val="22"/>
          <w:szCs w:val="22"/>
        </w:rPr>
      </w:pPr>
    </w:p>
    <w:p w:rsidR="00010F00" w:rsidRDefault="00010F00" w:rsidP="00010F00">
      <w:pPr>
        <w:autoSpaceDE w:val="0"/>
        <w:autoSpaceDN w:val="0"/>
        <w:adjustRightInd w:val="0"/>
        <w:spacing w:after="0" w:line="240" w:lineRule="auto"/>
        <w:jc w:val="left"/>
        <w:rPr>
          <w:b/>
          <w:bCs/>
          <w:sz w:val="24"/>
          <w:szCs w:val="24"/>
          <w:lang w:val="sr-Cyrl-CS"/>
        </w:rPr>
      </w:pPr>
    </w:p>
    <w:p w:rsidR="00010F00" w:rsidRDefault="00010F00" w:rsidP="007D765B">
      <w:pPr>
        <w:autoSpaceDE w:val="0"/>
        <w:autoSpaceDN w:val="0"/>
        <w:adjustRightInd w:val="0"/>
        <w:spacing w:after="0" w:line="240" w:lineRule="auto"/>
        <w:jc w:val="center"/>
        <w:rPr>
          <w:b/>
          <w:bCs/>
          <w:sz w:val="24"/>
          <w:szCs w:val="24"/>
          <w:lang w:val="sr-Cyrl-CS"/>
        </w:rPr>
      </w:pPr>
    </w:p>
    <w:p w:rsidR="00010F00" w:rsidRDefault="00010F00" w:rsidP="007D765B">
      <w:pPr>
        <w:autoSpaceDE w:val="0"/>
        <w:autoSpaceDN w:val="0"/>
        <w:adjustRightInd w:val="0"/>
        <w:spacing w:after="0" w:line="240" w:lineRule="auto"/>
        <w:jc w:val="center"/>
        <w:rPr>
          <w:b/>
          <w:bCs/>
          <w:sz w:val="24"/>
          <w:szCs w:val="24"/>
          <w:lang w:val="sr-Cyrl-CS"/>
        </w:rPr>
      </w:pPr>
    </w:p>
    <w:p w:rsidR="00010F00" w:rsidRDefault="00010F00" w:rsidP="007D765B">
      <w:pPr>
        <w:autoSpaceDE w:val="0"/>
        <w:autoSpaceDN w:val="0"/>
        <w:adjustRightInd w:val="0"/>
        <w:spacing w:after="0" w:line="240" w:lineRule="auto"/>
        <w:jc w:val="center"/>
        <w:rPr>
          <w:b/>
          <w:bCs/>
          <w:sz w:val="24"/>
          <w:szCs w:val="24"/>
          <w:lang w:val="sr-Cyrl-CS"/>
        </w:rPr>
      </w:pPr>
    </w:p>
    <w:p w:rsidR="007D765B" w:rsidRDefault="007D02DA" w:rsidP="007D765B">
      <w:pPr>
        <w:autoSpaceDE w:val="0"/>
        <w:autoSpaceDN w:val="0"/>
        <w:adjustRightInd w:val="0"/>
        <w:spacing w:after="0" w:line="240" w:lineRule="auto"/>
        <w:jc w:val="center"/>
        <w:rPr>
          <w:b/>
          <w:bCs/>
          <w:sz w:val="24"/>
          <w:szCs w:val="24"/>
          <w:lang w:val="sr-Cyrl-CS"/>
        </w:rPr>
      </w:pPr>
      <w:r>
        <w:rPr>
          <w:b/>
          <w:bCs/>
          <w:sz w:val="24"/>
          <w:szCs w:val="24"/>
          <w:lang w:val="sr-Cyrl-CS"/>
        </w:rPr>
        <w:t>ДОДАТНЕ ИНСТРУКЦИЈЕ ЗА ИЗРАДУ ФИНАНСИЈСКИХ ПЛАНОВА КОРИСНИКА БУЏЕТА</w:t>
      </w:r>
      <w:r w:rsidR="007D765B">
        <w:rPr>
          <w:b/>
          <w:bCs/>
          <w:sz w:val="24"/>
          <w:szCs w:val="24"/>
          <w:lang w:val="sr-Cyrl-CS"/>
        </w:rPr>
        <w:t xml:space="preserve"> ОПШТИНЕ ВЛАДИЧИН ХАН</w:t>
      </w:r>
    </w:p>
    <w:p w:rsidR="007D02DA" w:rsidRPr="00161C54" w:rsidRDefault="007D02DA" w:rsidP="007D765B">
      <w:pPr>
        <w:autoSpaceDE w:val="0"/>
        <w:autoSpaceDN w:val="0"/>
        <w:adjustRightInd w:val="0"/>
        <w:spacing w:after="0" w:line="240" w:lineRule="auto"/>
        <w:jc w:val="center"/>
        <w:rPr>
          <w:b/>
          <w:bCs/>
          <w:sz w:val="24"/>
          <w:szCs w:val="24"/>
        </w:rPr>
      </w:pPr>
      <w:r>
        <w:rPr>
          <w:b/>
          <w:bCs/>
          <w:sz w:val="24"/>
          <w:szCs w:val="24"/>
          <w:lang w:val="sr-Cyrl-CS"/>
        </w:rPr>
        <w:t xml:space="preserve"> </w:t>
      </w:r>
      <w:r w:rsidR="007D765B">
        <w:rPr>
          <w:b/>
          <w:bCs/>
          <w:sz w:val="24"/>
          <w:szCs w:val="24"/>
          <w:lang w:val="sr-Cyrl-CS"/>
        </w:rPr>
        <w:t>У</w:t>
      </w:r>
      <w:r w:rsidRPr="00161C54">
        <w:rPr>
          <w:b/>
          <w:bCs/>
          <w:sz w:val="24"/>
          <w:szCs w:val="24"/>
        </w:rPr>
        <w:t xml:space="preserve"> </w:t>
      </w:r>
      <w:r w:rsidR="007D765B">
        <w:rPr>
          <w:b/>
          <w:bCs/>
          <w:sz w:val="24"/>
          <w:szCs w:val="24"/>
          <w:lang w:val="sr-Cyrl-CS"/>
        </w:rPr>
        <w:t xml:space="preserve">ПОСТУПКУ </w:t>
      </w:r>
      <w:r w:rsidRPr="00161C54">
        <w:rPr>
          <w:b/>
          <w:bCs/>
          <w:sz w:val="24"/>
          <w:szCs w:val="24"/>
        </w:rPr>
        <w:t>ПРИПРЕМ</w:t>
      </w:r>
      <w:r w:rsidR="007D765B">
        <w:rPr>
          <w:b/>
          <w:bCs/>
          <w:sz w:val="24"/>
          <w:szCs w:val="24"/>
          <w:lang w:val="sr-Cyrl-CS"/>
        </w:rPr>
        <w:t>Е</w:t>
      </w:r>
      <w:r w:rsidRPr="00161C54">
        <w:rPr>
          <w:b/>
          <w:bCs/>
          <w:sz w:val="24"/>
          <w:szCs w:val="24"/>
        </w:rPr>
        <w:t xml:space="preserve"> БУЏЕТА </w:t>
      </w:r>
      <w:r w:rsidRPr="00161C54">
        <w:rPr>
          <w:b/>
          <w:bCs/>
          <w:sz w:val="24"/>
          <w:szCs w:val="24"/>
          <w:lang w:val="sr-Cyrl-CS"/>
        </w:rPr>
        <w:t>ОПШТИНЕ ВЛАДИЧИН ХАН</w:t>
      </w:r>
      <w:r w:rsidRPr="00161C54">
        <w:rPr>
          <w:b/>
          <w:bCs/>
          <w:sz w:val="24"/>
          <w:szCs w:val="24"/>
        </w:rPr>
        <w:t xml:space="preserve"> ЗА 201</w:t>
      </w:r>
      <w:r w:rsidRPr="00161C54">
        <w:rPr>
          <w:b/>
          <w:bCs/>
          <w:sz w:val="24"/>
          <w:szCs w:val="24"/>
          <w:lang w:val="sr-Cyrl-CS"/>
        </w:rPr>
        <w:t>7</w:t>
      </w:r>
      <w:r w:rsidRPr="00161C54">
        <w:rPr>
          <w:b/>
          <w:bCs/>
          <w:sz w:val="24"/>
          <w:szCs w:val="24"/>
        </w:rPr>
        <w:t xml:space="preserve">. </w:t>
      </w:r>
    </w:p>
    <w:p w:rsidR="007D02DA" w:rsidRDefault="007D02DA" w:rsidP="007D02DA">
      <w:pPr>
        <w:autoSpaceDE w:val="0"/>
        <w:autoSpaceDN w:val="0"/>
        <w:adjustRightInd w:val="0"/>
        <w:spacing w:after="0" w:line="240" w:lineRule="auto"/>
        <w:jc w:val="center"/>
        <w:rPr>
          <w:b/>
          <w:bCs/>
          <w:sz w:val="24"/>
          <w:szCs w:val="24"/>
          <w:lang w:val="sr-Cyrl-CS"/>
        </w:rPr>
      </w:pPr>
      <w:proofErr w:type="gramStart"/>
      <w:r w:rsidRPr="00161C54">
        <w:rPr>
          <w:b/>
          <w:bCs/>
          <w:sz w:val="24"/>
          <w:szCs w:val="24"/>
        </w:rPr>
        <w:t>СА ПРОЈЕКЦИЈАМА ЗА 201</w:t>
      </w:r>
      <w:r w:rsidRPr="00161C54">
        <w:rPr>
          <w:b/>
          <w:bCs/>
          <w:sz w:val="24"/>
          <w:szCs w:val="24"/>
          <w:lang w:val="sr-Cyrl-CS"/>
        </w:rPr>
        <w:t>8</w:t>
      </w:r>
      <w:r w:rsidRPr="00161C54">
        <w:rPr>
          <w:b/>
          <w:bCs/>
          <w:sz w:val="24"/>
          <w:szCs w:val="24"/>
        </w:rPr>
        <w:t>.</w:t>
      </w:r>
      <w:proofErr w:type="gramEnd"/>
      <w:r w:rsidRPr="00161C54">
        <w:rPr>
          <w:b/>
          <w:bCs/>
          <w:sz w:val="24"/>
          <w:szCs w:val="24"/>
        </w:rPr>
        <w:t xml:space="preserve"> И 201</w:t>
      </w:r>
      <w:r w:rsidRPr="00161C54">
        <w:rPr>
          <w:b/>
          <w:bCs/>
          <w:sz w:val="24"/>
          <w:szCs w:val="24"/>
          <w:lang w:val="sr-Cyrl-CS"/>
        </w:rPr>
        <w:t>9</w:t>
      </w:r>
      <w:r w:rsidRPr="00161C54">
        <w:rPr>
          <w:b/>
          <w:bCs/>
          <w:sz w:val="24"/>
          <w:szCs w:val="24"/>
        </w:rPr>
        <w:t>.ГОДИНУ</w:t>
      </w:r>
    </w:p>
    <w:p w:rsidR="007D765B" w:rsidRDefault="007D765B" w:rsidP="007D02DA">
      <w:pPr>
        <w:autoSpaceDE w:val="0"/>
        <w:autoSpaceDN w:val="0"/>
        <w:adjustRightInd w:val="0"/>
        <w:spacing w:after="0" w:line="240" w:lineRule="auto"/>
        <w:jc w:val="center"/>
        <w:rPr>
          <w:b/>
          <w:bCs/>
          <w:sz w:val="24"/>
          <w:szCs w:val="24"/>
          <w:lang w:val="sr-Cyrl-CS"/>
        </w:rPr>
      </w:pPr>
    </w:p>
    <w:p w:rsidR="007D765B" w:rsidRPr="007D765B" w:rsidRDefault="007D765B" w:rsidP="007D02DA">
      <w:pPr>
        <w:autoSpaceDE w:val="0"/>
        <w:autoSpaceDN w:val="0"/>
        <w:adjustRightInd w:val="0"/>
        <w:spacing w:after="0" w:line="240" w:lineRule="auto"/>
        <w:jc w:val="center"/>
        <w:rPr>
          <w:b/>
          <w:bCs/>
          <w:sz w:val="24"/>
          <w:szCs w:val="24"/>
          <w:lang w:val="sr-Cyrl-CS"/>
        </w:rPr>
      </w:pPr>
    </w:p>
    <w:p w:rsidR="006E2A09" w:rsidRDefault="006E2A09" w:rsidP="006E2A09">
      <w:pPr>
        <w:pStyle w:val="Default"/>
      </w:pPr>
    </w:p>
    <w:p w:rsidR="006E2A09" w:rsidRDefault="006E2A09" w:rsidP="006E2A09">
      <w:pPr>
        <w:pStyle w:val="Default"/>
      </w:pPr>
      <w:r>
        <w:t xml:space="preserve"> </w:t>
      </w:r>
    </w:p>
    <w:p w:rsidR="006E2A09" w:rsidRPr="002D168D" w:rsidRDefault="006E2A09" w:rsidP="006E2A09">
      <w:pPr>
        <w:pStyle w:val="Default"/>
        <w:numPr>
          <w:ilvl w:val="0"/>
          <w:numId w:val="1"/>
        </w:numPr>
        <w:jc w:val="center"/>
        <w:rPr>
          <w:b/>
          <w:bCs/>
          <w:sz w:val="28"/>
          <w:szCs w:val="28"/>
          <w:lang w:val="sr-Cyrl-CS"/>
        </w:rPr>
      </w:pPr>
      <w:r w:rsidRPr="002D168D">
        <w:rPr>
          <w:b/>
          <w:bCs/>
          <w:sz w:val="28"/>
          <w:szCs w:val="28"/>
        </w:rPr>
        <w:t>Програмска структура буџета</w:t>
      </w:r>
    </w:p>
    <w:p w:rsidR="006E2A09" w:rsidRPr="002D168D" w:rsidRDefault="006E2A09" w:rsidP="006E2A09">
      <w:pPr>
        <w:pStyle w:val="Default"/>
        <w:ind w:left="360"/>
        <w:jc w:val="center"/>
        <w:rPr>
          <w:b/>
          <w:bCs/>
          <w:sz w:val="28"/>
          <w:szCs w:val="28"/>
          <w:lang w:val="sr-Cyrl-CS"/>
        </w:rPr>
      </w:pPr>
    </w:p>
    <w:p w:rsidR="006E2A09" w:rsidRPr="002D168D" w:rsidRDefault="006E2A09" w:rsidP="006E2A09">
      <w:pPr>
        <w:pStyle w:val="Default"/>
        <w:rPr>
          <w:sz w:val="28"/>
          <w:szCs w:val="28"/>
        </w:rPr>
      </w:pPr>
    </w:p>
    <w:p w:rsidR="006E2A09" w:rsidRPr="002D168D" w:rsidRDefault="006E2A09" w:rsidP="002D168D">
      <w:pPr>
        <w:pStyle w:val="Default"/>
        <w:ind w:left="360"/>
        <w:jc w:val="both"/>
        <w:rPr>
          <w:sz w:val="28"/>
          <w:szCs w:val="28"/>
          <w:lang w:val="sr-Cyrl-CS"/>
        </w:rPr>
      </w:pPr>
      <w:r w:rsidRPr="002D168D">
        <w:rPr>
          <w:sz w:val="28"/>
          <w:szCs w:val="28"/>
        </w:rPr>
        <w:t xml:space="preserve"> Министарство финансија је унапредило Упутство за припрему програмског буџета у погледу обавезе праћења и извештавања о циљевима и </w:t>
      </w:r>
      <w:r w:rsidR="002D168D">
        <w:rPr>
          <w:sz w:val="28"/>
          <w:szCs w:val="28"/>
          <w:lang w:val="sr-Cyrl-CS"/>
        </w:rPr>
        <w:t>и</w:t>
      </w:r>
      <w:r w:rsidRPr="002D168D">
        <w:rPr>
          <w:sz w:val="28"/>
          <w:szCs w:val="28"/>
        </w:rPr>
        <w:t>ндикаторима</w:t>
      </w:r>
      <w:proofErr w:type="gramStart"/>
      <w:r w:rsidRPr="002D168D">
        <w:rPr>
          <w:sz w:val="28"/>
          <w:szCs w:val="28"/>
        </w:rPr>
        <w:t xml:space="preserve">, </w:t>
      </w:r>
      <w:r w:rsidR="002D168D">
        <w:rPr>
          <w:sz w:val="28"/>
          <w:szCs w:val="28"/>
          <w:lang w:val="sr-Cyrl-CS"/>
        </w:rPr>
        <w:t xml:space="preserve"> </w:t>
      </w:r>
      <w:r w:rsidRPr="002D168D">
        <w:rPr>
          <w:sz w:val="28"/>
          <w:szCs w:val="28"/>
        </w:rPr>
        <w:t>дефинисања</w:t>
      </w:r>
      <w:proofErr w:type="gramEnd"/>
      <w:r w:rsidRPr="002D168D">
        <w:rPr>
          <w:sz w:val="28"/>
          <w:szCs w:val="28"/>
        </w:rPr>
        <w:t xml:space="preserve"> врста програмских активности и одређивања код којих врста програмских активности није потребно дефинисати циљеве и индикаторе.</w:t>
      </w:r>
    </w:p>
    <w:p w:rsidR="006E2A09" w:rsidRPr="002D168D" w:rsidRDefault="00E82E7D" w:rsidP="002D168D">
      <w:pPr>
        <w:pStyle w:val="Default"/>
        <w:ind w:left="360"/>
        <w:jc w:val="both"/>
        <w:rPr>
          <w:sz w:val="28"/>
          <w:szCs w:val="28"/>
          <w:lang w:val="sr-Cyrl-CS"/>
        </w:rPr>
      </w:pPr>
      <w:r>
        <w:rPr>
          <w:sz w:val="28"/>
          <w:szCs w:val="28"/>
          <w:lang w:val="sr-Cyrl-CS"/>
        </w:rPr>
        <w:t>П</w:t>
      </w:r>
      <w:r w:rsidR="0058666F" w:rsidRPr="002D168D">
        <w:rPr>
          <w:sz w:val="28"/>
          <w:szCs w:val="28"/>
        </w:rPr>
        <w:t>рограмско буџетирање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rsidR="0058666F" w:rsidRPr="002D168D" w:rsidRDefault="0058666F" w:rsidP="002D168D">
      <w:pPr>
        <w:pStyle w:val="Default"/>
        <w:ind w:left="360"/>
        <w:jc w:val="both"/>
        <w:rPr>
          <w:sz w:val="28"/>
          <w:szCs w:val="28"/>
          <w:lang w:val="sr-Cyrl-CS"/>
        </w:rPr>
      </w:pPr>
    </w:p>
    <w:p w:rsidR="0058666F" w:rsidRPr="002D168D" w:rsidRDefault="0058666F" w:rsidP="002D168D">
      <w:pPr>
        <w:pStyle w:val="Default"/>
        <w:ind w:left="360"/>
        <w:jc w:val="both"/>
        <w:rPr>
          <w:sz w:val="28"/>
          <w:szCs w:val="28"/>
          <w:lang w:val="sr-Cyrl-CS"/>
        </w:rPr>
      </w:pPr>
      <w:r w:rsidRPr="002D168D">
        <w:rPr>
          <w:sz w:val="28"/>
          <w:szCs w:val="28"/>
        </w:rPr>
        <w:t xml:space="preserve"> </w:t>
      </w:r>
      <w:proofErr w:type="gramStart"/>
      <w:r w:rsidRPr="002D168D">
        <w:rPr>
          <w:sz w:val="28"/>
          <w:szCs w:val="28"/>
        </w:rPr>
        <w:t xml:space="preserve">Министарство финансија је у сарадњи са СКГО </w:t>
      </w:r>
      <w:r w:rsidRPr="002D168D">
        <w:rPr>
          <w:b/>
          <w:bCs/>
          <w:sz w:val="28"/>
          <w:szCs w:val="28"/>
        </w:rPr>
        <w:t xml:space="preserve">припремило униформну програмску структуру за ЈЛС </w:t>
      </w:r>
      <w:r w:rsidRPr="002D168D">
        <w:rPr>
          <w:sz w:val="28"/>
          <w:szCs w:val="28"/>
        </w:rPr>
        <w:t>која се примењује у изради одлуке о буџету јединица локалне самоуправе за 2017.</w:t>
      </w:r>
      <w:proofErr w:type="gramEnd"/>
      <w:r w:rsidRPr="002D168D">
        <w:rPr>
          <w:sz w:val="28"/>
          <w:szCs w:val="28"/>
        </w:rPr>
        <w:t xml:space="preserve"> </w:t>
      </w:r>
      <w:proofErr w:type="gramStart"/>
      <w:r w:rsidRPr="002D168D">
        <w:rPr>
          <w:sz w:val="28"/>
          <w:szCs w:val="28"/>
        </w:rPr>
        <w:t>годину</w:t>
      </w:r>
      <w:proofErr w:type="gramEnd"/>
      <w:r w:rsidRPr="002D168D">
        <w:rPr>
          <w:sz w:val="28"/>
          <w:szCs w:val="28"/>
        </w:rPr>
        <w:t>, која је ревидирана и садржи 17 програма уместо досадашњих 15, као и низ измена на нивоу програмских активности са сходно усклађеним шифрама.</w:t>
      </w:r>
    </w:p>
    <w:p w:rsidR="0058666F" w:rsidRDefault="0058666F" w:rsidP="002D168D">
      <w:pPr>
        <w:pStyle w:val="Default"/>
        <w:ind w:left="360"/>
        <w:jc w:val="both"/>
        <w:rPr>
          <w:sz w:val="28"/>
          <w:szCs w:val="28"/>
          <w:lang w:val="sr-Cyrl-CS"/>
        </w:rPr>
      </w:pPr>
      <w:r w:rsidRPr="002D168D">
        <w:rPr>
          <w:sz w:val="28"/>
          <w:szCs w:val="28"/>
        </w:rPr>
        <w:t xml:space="preserve">Упутство за припрему програмског буџета, са анексом 5 којим је дефинисана </w:t>
      </w:r>
      <w:r w:rsidRPr="002D168D">
        <w:rPr>
          <w:b/>
          <w:bCs/>
          <w:sz w:val="28"/>
          <w:szCs w:val="28"/>
        </w:rPr>
        <w:t xml:space="preserve">униформна програмска структура </w:t>
      </w:r>
      <w:r w:rsidRPr="002D168D">
        <w:rPr>
          <w:sz w:val="28"/>
          <w:szCs w:val="28"/>
        </w:rPr>
        <w:t xml:space="preserve">за ЈЛС, као и документ који садржи </w:t>
      </w:r>
      <w:r w:rsidRPr="002D168D">
        <w:rPr>
          <w:b/>
          <w:bCs/>
          <w:sz w:val="28"/>
          <w:szCs w:val="28"/>
        </w:rPr>
        <w:t>циљеве програма и програмских активности и листа униформних индикатора</w:t>
      </w:r>
      <w:r w:rsidR="00E82E7D">
        <w:rPr>
          <w:b/>
          <w:bCs/>
          <w:sz w:val="28"/>
          <w:szCs w:val="28"/>
          <w:lang w:val="sr-Cyrl-CS"/>
        </w:rPr>
        <w:t xml:space="preserve"> </w:t>
      </w:r>
      <w:r w:rsidR="00E82E7D">
        <w:rPr>
          <w:bCs/>
          <w:sz w:val="28"/>
          <w:szCs w:val="28"/>
          <w:lang w:val="sr-Cyrl-CS"/>
        </w:rPr>
        <w:t xml:space="preserve">заједно са обрасцима финансијског плана у форми програмског буџета </w:t>
      </w:r>
      <w:r w:rsidRPr="002D168D">
        <w:rPr>
          <w:b/>
          <w:bCs/>
          <w:sz w:val="28"/>
          <w:szCs w:val="28"/>
        </w:rPr>
        <w:t xml:space="preserve"> </w:t>
      </w:r>
      <w:r w:rsidRPr="002D168D">
        <w:rPr>
          <w:sz w:val="28"/>
          <w:szCs w:val="28"/>
        </w:rPr>
        <w:t>се може наћи на сајту Министарства финансија (</w:t>
      </w:r>
      <w:hyperlink r:id="rId5" w:history="1">
        <w:r w:rsidR="003E051B" w:rsidRPr="00F86D6A">
          <w:rPr>
            <w:rStyle w:val="Hyperlink"/>
            <w:sz w:val="28"/>
            <w:szCs w:val="28"/>
          </w:rPr>
          <w:t>www.mfin.gov.rs</w:t>
        </w:r>
      </w:hyperlink>
      <w:r w:rsidR="003E051B">
        <w:rPr>
          <w:sz w:val="28"/>
          <w:szCs w:val="28"/>
          <w:lang w:val="sr-Cyrl-CS"/>
        </w:rPr>
        <w:t xml:space="preserve"> </w:t>
      </w:r>
      <w:r w:rsidRPr="002D168D">
        <w:rPr>
          <w:sz w:val="28"/>
          <w:szCs w:val="28"/>
        </w:rPr>
        <w:t>), као и на сајту СКГО (</w:t>
      </w:r>
      <w:hyperlink r:id="rId6" w:history="1">
        <w:r w:rsidR="003E051B" w:rsidRPr="00F86D6A">
          <w:rPr>
            <w:rStyle w:val="Hyperlink"/>
            <w:sz w:val="28"/>
            <w:szCs w:val="28"/>
          </w:rPr>
          <w:t>www.skgo.org</w:t>
        </w:r>
      </w:hyperlink>
      <w:r w:rsidRPr="002D168D">
        <w:rPr>
          <w:sz w:val="28"/>
          <w:szCs w:val="28"/>
        </w:rPr>
        <w:t>)</w:t>
      </w:r>
      <w:r w:rsidR="003E051B">
        <w:rPr>
          <w:sz w:val="28"/>
          <w:szCs w:val="28"/>
          <w:lang w:val="sr-Cyrl-CS"/>
        </w:rPr>
        <w:t xml:space="preserve"> а могу се преузети и на званичном сајту Општине Владичин Хан </w:t>
      </w:r>
    </w:p>
    <w:p w:rsidR="003E051B" w:rsidRDefault="003E051B" w:rsidP="002D168D">
      <w:pPr>
        <w:pStyle w:val="Default"/>
        <w:ind w:left="360"/>
        <w:jc w:val="both"/>
        <w:rPr>
          <w:sz w:val="28"/>
          <w:szCs w:val="28"/>
          <w:lang w:val="sr-Latn-CS"/>
        </w:rPr>
      </w:pPr>
      <w:r>
        <w:rPr>
          <w:sz w:val="28"/>
          <w:szCs w:val="28"/>
          <w:lang w:val="sr-Cyrl-CS"/>
        </w:rPr>
        <w:t>(</w:t>
      </w:r>
      <w:hyperlink r:id="rId7" w:history="1">
        <w:r w:rsidRPr="00F86D6A">
          <w:rPr>
            <w:rStyle w:val="Hyperlink"/>
            <w:sz w:val="28"/>
            <w:szCs w:val="28"/>
            <w:lang w:val="sr-Latn-CS"/>
          </w:rPr>
          <w:t>www.vladidcinhan.org.rs</w:t>
        </w:r>
      </w:hyperlink>
      <w:r>
        <w:rPr>
          <w:sz w:val="28"/>
          <w:szCs w:val="28"/>
          <w:lang w:val="sr-Latn-CS"/>
        </w:rPr>
        <w:t xml:space="preserve"> )</w:t>
      </w:r>
    </w:p>
    <w:p w:rsidR="00387E95" w:rsidRDefault="00387E95" w:rsidP="002D168D">
      <w:pPr>
        <w:pStyle w:val="Default"/>
        <w:ind w:left="360"/>
        <w:jc w:val="both"/>
        <w:rPr>
          <w:sz w:val="28"/>
          <w:szCs w:val="28"/>
          <w:lang w:val="sr-Latn-CS"/>
        </w:rPr>
      </w:pPr>
    </w:p>
    <w:p w:rsidR="00387E95" w:rsidRDefault="00387E95" w:rsidP="00387E95">
      <w:pPr>
        <w:pStyle w:val="Default"/>
      </w:pPr>
    </w:p>
    <w:p w:rsidR="00387E95" w:rsidRPr="00387E95" w:rsidRDefault="00387E95" w:rsidP="00387E95">
      <w:pPr>
        <w:pStyle w:val="Default"/>
        <w:jc w:val="center"/>
        <w:rPr>
          <w:sz w:val="28"/>
          <w:szCs w:val="28"/>
        </w:rPr>
      </w:pPr>
      <w:r w:rsidRPr="00387E95">
        <w:rPr>
          <w:b/>
          <w:bCs/>
          <w:sz w:val="28"/>
          <w:szCs w:val="28"/>
        </w:rPr>
        <w:lastRenderedPageBreak/>
        <w:t>2. Опште напомене за припрему одлуке о буџету локалне власти</w:t>
      </w:r>
    </w:p>
    <w:p w:rsidR="00387E95" w:rsidRPr="003E051B" w:rsidRDefault="00387E95" w:rsidP="002D168D">
      <w:pPr>
        <w:pStyle w:val="Default"/>
        <w:ind w:left="360"/>
        <w:jc w:val="both"/>
        <w:rPr>
          <w:sz w:val="28"/>
          <w:szCs w:val="28"/>
          <w:lang w:val="sr-Latn-CS"/>
        </w:rPr>
      </w:pPr>
    </w:p>
    <w:p w:rsidR="007D02DA" w:rsidRPr="000B2A3A" w:rsidRDefault="002F685F" w:rsidP="002D168D">
      <w:pPr>
        <w:autoSpaceDE w:val="0"/>
        <w:autoSpaceDN w:val="0"/>
        <w:adjustRightInd w:val="0"/>
        <w:spacing w:after="0" w:line="240" w:lineRule="auto"/>
        <w:rPr>
          <w:sz w:val="28"/>
          <w:szCs w:val="28"/>
        </w:rPr>
      </w:pPr>
      <w:r w:rsidRPr="000B2A3A">
        <w:rPr>
          <w:sz w:val="28"/>
          <w:szCs w:val="28"/>
        </w:rPr>
        <w:t>Законом о буџетском систему је уређено да одредбе закона којима се уређује, коришћење и расподела сопствених прихода које остваре установе основане од стране локалне власти, над којима оснивач, преко директних корисника буџетских средстава, врши законом  утврђена права у погледу управљања и финансирања, престају да важе кад се за то створе технички услови.</w:t>
      </w:r>
    </w:p>
    <w:p w:rsidR="00123499" w:rsidRPr="000B2A3A" w:rsidRDefault="00123499" w:rsidP="002D168D">
      <w:pPr>
        <w:autoSpaceDE w:val="0"/>
        <w:autoSpaceDN w:val="0"/>
        <w:adjustRightInd w:val="0"/>
        <w:spacing w:after="0" w:line="240" w:lineRule="auto"/>
        <w:rPr>
          <w:b/>
          <w:bCs/>
          <w:sz w:val="28"/>
          <w:szCs w:val="28"/>
        </w:rPr>
      </w:pPr>
      <w:r w:rsidRPr="000B2A3A">
        <w:rPr>
          <w:sz w:val="28"/>
          <w:szCs w:val="28"/>
          <w:lang w:val="sr-Cyrl-CS"/>
        </w:rPr>
        <w:t>З</w:t>
      </w:r>
      <w:r w:rsidRPr="000B2A3A">
        <w:rPr>
          <w:sz w:val="28"/>
          <w:szCs w:val="28"/>
        </w:rPr>
        <w:t xml:space="preserve">аконодавац </w:t>
      </w:r>
      <w:r w:rsidRPr="000B2A3A">
        <w:rPr>
          <w:sz w:val="28"/>
          <w:szCs w:val="28"/>
          <w:lang w:val="sr-Cyrl-CS"/>
        </w:rPr>
        <w:t xml:space="preserve">је </w:t>
      </w:r>
      <w:r w:rsidRPr="000B2A3A">
        <w:rPr>
          <w:sz w:val="28"/>
          <w:szCs w:val="28"/>
        </w:rPr>
        <w:t xml:space="preserve">оставио могућност да установе до даљег могу да користе сопствене приходе у складу са законом, </w:t>
      </w:r>
      <w:r w:rsidR="00662C0F" w:rsidRPr="000B2A3A">
        <w:rPr>
          <w:b/>
          <w:bCs/>
          <w:sz w:val="28"/>
          <w:szCs w:val="28"/>
          <w:lang w:val="sr-Cyrl-CS"/>
        </w:rPr>
        <w:t xml:space="preserve">као и </w:t>
      </w:r>
      <w:r w:rsidRPr="000B2A3A">
        <w:rPr>
          <w:b/>
          <w:bCs/>
          <w:sz w:val="28"/>
          <w:szCs w:val="28"/>
        </w:rPr>
        <w:t>да преиспита</w:t>
      </w:r>
      <w:r w:rsidR="00662C0F" w:rsidRPr="000B2A3A">
        <w:rPr>
          <w:b/>
          <w:bCs/>
          <w:sz w:val="28"/>
          <w:szCs w:val="28"/>
          <w:lang w:val="sr-Cyrl-CS"/>
        </w:rPr>
        <w:t>ју</w:t>
      </w:r>
      <w:r w:rsidRPr="000B2A3A">
        <w:rPr>
          <w:b/>
          <w:bCs/>
          <w:sz w:val="28"/>
          <w:szCs w:val="28"/>
        </w:rPr>
        <w:t xml:space="preserve"> основаност и оправданост постојања рачуна сопствених прихода у случају када коришћење и расподела тих прихода није уређена посебним законима. </w:t>
      </w:r>
      <w:proofErr w:type="gramStart"/>
      <w:r w:rsidRPr="000B2A3A">
        <w:rPr>
          <w:sz w:val="28"/>
          <w:szCs w:val="28"/>
        </w:rPr>
        <w:t xml:space="preserve">Уколико буџетски корисник, у складу са посебним законима, остварује сопствене </w:t>
      </w:r>
      <w:r w:rsidR="00B921F9">
        <w:rPr>
          <w:sz w:val="28"/>
          <w:szCs w:val="28"/>
          <w:lang w:val="sr-Cyrl-CS"/>
        </w:rPr>
        <w:t xml:space="preserve">приходе, </w:t>
      </w:r>
      <w:r w:rsidR="000E2B36" w:rsidRPr="000B2A3A">
        <w:rPr>
          <w:sz w:val="28"/>
          <w:szCs w:val="28"/>
          <w:lang w:val="sr-Cyrl-CS"/>
        </w:rPr>
        <w:t xml:space="preserve">дужан је да </w:t>
      </w:r>
      <w:r w:rsidRPr="000B2A3A">
        <w:rPr>
          <w:sz w:val="28"/>
          <w:szCs w:val="28"/>
        </w:rPr>
        <w:t>извршава расходе и издатке првенствено из тог и других извора, па тек онда из извора 01 – Приходи из буџета (члан 52.</w:t>
      </w:r>
      <w:proofErr w:type="gramEnd"/>
      <w:r w:rsidRPr="000B2A3A">
        <w:rPr>
          <w:sz w:val="28"/>
          <w:szCs w:val="28"/>
        </w:rPr>
        <w:t xml:space="preserve"> </w:t>
      </w:r>
      <w:proofErr w:type="gramStart"/>
      <w:r w:rsidRPr="000B2A3A">
        <w:rPr>
          <w:sz w:val="28"/>
          <w:szCs w:val="28"/>
        </w:rPr>
        <w:t>Закона о буџетском систему).</w:t>
      </w:r>
      <w:proofErr w:type="gramEnd"/>
    </w:p>
    <w:p w:rsidR="004347DB" w:rsidRDefault="000E2B36" w:rsidP="000B2A3A">
      <w:pPr>
        <w:spacing w:line="240" w:lineRule="auto"/>
        <w:rPr>
          <w:sz w:val="23"/>
          <w:szCs w:val="23"/>
          <w:lang w:val="sr-Cyrl-CS"/>
        </w:rPr>
      </w:pPr>
      <w:r w:rsidRPr="000B2A3A">
        <w:rPr>
          <w:b/>
          <w:sz w:val="28"/>
          <w:szCs w:val="28"/>
          <w:u w:val="single"/>
        </w:rPr>
        <w:t>Jавнe приходe остварене по основу пружања услуга боравка деце у предшколским установама треба планирати на извору 01- Приходи из буџета</w:t>
      </w:r>
      <w:r w:rsidRPr="000B2A3A">
        <w:rPr>
          <w:sz w:val="28"/>
          <w:szCs w:val="28"/>
        </w:rPr>
        <w:t xml:space="preserve">, </w:t>
      </w:r>
      <w:r w:rsidR="000B2A3A">
        <w:rPr>
          <w:sz w:val="28"/>
          <w:szCs w:val="28"/>
          <w:lang w:val="sr-Cyrl-CS"/>
        </w:rPr>
        <w:t>па се у том смислу обавештава</w:t>
      </w:r>
      <w:r w:rsidRPr="000B2A3A">
        <w:rPr>
          <w:sz w:val="28"/>
          <w:szCs w:val="28"/>
        </w:rPr>
        <w:t xml:space="preserve"> предшколск</w:t>
      </w:r>
      <w:r w:rsidR="000B2A3A">
        <w:rPr>
          <w:sz w:val="28"/>
          <w:szCs w:val="28"/>
          <w:lang w:val="sr-Cyrl-CS"/>
        </w:rPr>
        <w:t>а</w:t>
      </w:r>
      <w:r w:rsidRPr="000B2A3A">
        <w:rPr>
          <w:sz w:val="28"/>
          <w:szCs w:val="28"/>
        </w:rPr>
        <w:t xml:space="preserve"> установ</w:t>
      </w:r>
      <w:r w:rsidR="000B2A3A">
        <w:rPr>
          <w:sz w:val="28"/>
          <w:szCs w:val="28"/>
          <w:lang w:val="sr-Cyrl-CS"/>
        </w:rPr>
        <w:t>а</w:t>
      </w:r>
      <w:r w:rsidRPr="000B2A3A">
        <w:rPr>
          <w:sz w:val="28"/>
          <w:szCs w:val="28"/>
        </w:rPr>
        <w:t xml:space="preserve"> о обавези уплате тих средстава на одговарајући рачун прописан за уплату јавних прихода. </w:t>
      </w:r>
      <w:proofErr w:type="gramStart"/>
      <w:r w:rsidRPr="000B2A3A">
        <w:rPr>
          <w:sz w:val="28"/>
          <w:szCs w:val="28"/>
        </w:rPr>
        <w:t xml:space="preserve">Како би предшколске установе могле да прате остварење ових прихода, односно неизвршавања обавеза родитеља по овом основу, </w:t>
      </w:r>
      <w:r w:rsidR="002D1ECC">
        <w:rPr>
          <w:sz w:val="28"/>
          <w:szCs w:val="28"/>
          <w:lang w:val="sr-Cyrl-CS"/>
        </w:rPr>
        <w:t xml:space="preserve">Одељење за финансије и привреду Општинске управа ће </w:t>
      </w:r>
      <w:r w:rsidRPr="000B2A3A">
        <w:rPr>
          <w:sz w:val="28"/>
          <w:szCs w:val="28"/>
        </w:rPr>
        <w:t>изводе о оствареним уплатама овог прихода на прописан рачун за уплату јавних прихода доставља</w:t>
      </w:r>
      <w:r w:rsidR="002D1ECC">
        <w:rPr>
          <w:sz w:val="28"/>
          <w:szCs w:val="28"/>
          <w:lang w:val="sr-Cyrl-CS"/>
        </w:rPr>
        <w:t>ти</w:t>
      </w:r>
      <w:r w:rsidRPr="000B2A3A">
        <w:rPr>
          <w:sz w:val="28"/>
          <w:szCs w:val="28"/>
        </w:rPr>
        <w:t xml:space="preserve"> предшколским установама.</w:t>
      </w:r>
      <w:proofErr w:type="gramEnd"/>
      <w:r w:rsidRPr="000B2A3A">
        <w:rPr>
          <w:sz w:val="28"/>
          <w:szCs w:val="28"/>
        </w:rPr>
        <w:t xml:space="preserve"> Уколико </w:t>
      </w:r>
      <w:r w:rsidR="002D1ECC">
        <w:rPr>
          <w:sz w:val="28"/>
          <w:szCs w:val="28"/>
          <w:lang w:val="sr-Cyrl-CS"/>
        </w:rPr>
        <w:t>се и поред тога</w:t>
      </w:r>
      <w:r w:rsidRPr="000B2A3A">
        <w:rPr>
          <w:sz w:val="28"/>
          <w:szCs w:val="28"/>
        </w:rPr>
        <w:t xml:space="preserve"> искажу средстава з</w:t>
      </w:r>
      <w:r w:rsidR="00402BFB">
        <w:rPr>
          <w:sz w:val="28"/>
          <w:szCs w:val="28"/>
        </w:rPr>
        <w:t>а плате запослених у предшколск</w:t>
      </w:r>
      <w:r w:rsidR="00402BFB">
        <w:rPr>
          <w:sz w:val="28"/>
          <w:szCs w:val="28"/>
          <w:lang w:val="sr-Cyrl-CS"/>
        </w:rPr>
        <w:t>ој</w:t>
      </w:r>
      <w:r w:rsidRPr="000B2A3A">
        <w:rPr>
          <w:sz w:val="28"/>
          <w:szCs w:val="28"/>
        </w:rPr>
        <w:t xml:space="preserve"> установ</w:t>
      </w:r>
      <w:r w:rsidR="00402BFB">
        <w:rPr>
          <w:sz w:val="28"/>
          <w:szCs w:val="28"/>
          <w:lang w:val="sr-Cyrl-CS"/>
        </w:rPr>
        <w:t>и</w:t>
      </w:r>
      <w:r w:rsidRPr="000B2A3A">
        <w:rPr>
          <w:sz w:val="28"/>
          <w:szCs w:val="28"/>
        </w:rPr>
        <w:t xml:space="preserve"> на извору 04 – Сопствени </w:t>
      </w:r>
      <w:proofErr w:type="gramStart"/>
      <w:r w:rsidRPr="000B2A3A">
        <w:rPr>
          <w:sz w:val="28"/>
          <w:szCs w:val="28"/>
        </w:rPr>
        <w:t xml:space="preserve">приходи </w:t>
      </w:r>
      <w:r w:rsidR="00B921F9">
        <w:rPr>
          <w:sz w:val="28"/>
          <w:szCs w:val="28"/>
          <w:lang w:val="sr-Cyrl-CS"/>
        </w:rPr>
        <w:t xml:space="preserve"> </w:t>
      </w:r>
      <w:r w:rsidRPr="000B2A3A">
        <w:rPr>
          <w:sz w:val="28"/>
          <w:szCs w:val="28"/>
        </w:rPr>
        <w:t>буџетских</w:t>
      </w:r>
      <w:proofErr w:type="gramEnd"/>
      <w:r w:rsidRPr="000B2A3A">
        <w:rPr>
          <w:sz w:val="28"/>
          <w:szCs w:val="28"/>
        </w:rPr>
        <w:t xml:space="preserve"> корисника, неопходно је да у образложењу </w:t>
      </w:r>
      <w:r w:rsidR="00BC186A">
        <w:rPr>
          <w:sz w:val="28"/>
          <w:szCs w:val="28"/>
          <w:lang w:val="sr-Cyrl-CS"/>
        </w:rPr>
        <w:t>финансијског плана овог корисника буџета</w:t>
      </w:r>
      <w:r w:rsidR="00402BFB">
        <w:rPr>
          <w:sz w:val="28"/>
          <w:szCs w:val="28"/>
          <w:lang w:val="sr-Cyrl-CS"/>
        </w:rPr>
        <w:t xml:space="preserve">  буде</w:t>
      </w:r>
      <w:r w:rsidRPr="000B2A3A">
        <w:rPr>
          <w:sz w:val="28"/>
          <w:szCs w:val="28"/>
        </w:rPr>
        <w:t xml:space="preserve"> навед</w:t>
      </w:r>
      <w:r w:rsidR="00402BFB">
        <w:rPr>
          <w:sz w:val="28"/>
          <w:szCs w:val="28"/>
          <w:lang w:val="sr-Cyrl-CS"/>
        </w:rPr>
        <w:t>ен</w:t>
      </w:r>
      <w:r w:rsidRPr="000B2A3A">
        <w:rPr>
          <w:sz w:val="28"/>
          <w:szCs w:val="28"/>
        </w:rPr>
        <w:t xml:space="preserve"> правни основ за планирање наведених расхода са тим извором финансирања</w:t>
      </w:r>
      <w:r>
        <w:rPr>
          <w:sz w:val="23"/>
          <w:szCs w:val="23"/>
        </w:rPr>
        <w:t>.</w:t>
      </w:r>
    </w:p>
    <w:p w:rsidR="00BC186A" w:rsidRPr="00452569" w:rsidRDefault="00BC186A" w:rsidP="000B2A3A">
      <w:pPr>
        <w:spacing w:line="240" w:lineRule="auto"/>
        <w:rPr>
          <w:sz w:val="28"/>
          <w:szCs w:val="28"/>
          <w:lang w:val="sr-Cyrl-CS"/>
        </w:rPr>
      </w:pPr>
      <w:proofErr w:type="gramStart"/>
      <w:r w:rsidRPr="00452569">
        <w:rPr>
          <w:sz w:val="28"/>
          <w:szCs w:val="28"/>
        </w:rPr>
        <w:t xml:space="preserve">У оквиру спровођења реформе јавних финансија започет је процес унапређења програмског модела буџета кроз </w:t>
      </w:r>
      <w:r w:rsidRPr="00F23DB5">
        <w:rPr>
          <w:b/>
          <w:sz w:val="28"/>
          <w:szCs w:val="28"/>
        </w:rPr>
        <w:t>увођење принципа родно одговорног буџетирања у буџетски процес.</w:t>
      </w:r>
      <w:proofErr w:type="gramEnd"/>
      <w:r w:rsidRPr="00452569">
        <w:rPr>
          <w:sz w:val="28"/>
          <w:szCs w:val="28"/>
        </w:rPr>
        <w:t xml:space="preserve"> </w:t>
      </w:r>
      <w:proofErr w:type="gramStart"/>
      <w:r w:rsidRPr="00452569">
        <w:rPr>
          <w:sz w:val="28"/>
          <w:szCs w:val="28"/>
        </w:rPr>
        <w:t>До 2020.</w:t>
      </w:r>
      <w:proofErr w:type="gramEnd"/>
      <w:r w:rsidRPr="00452569">
        <w:rPr>
          <w:sz w:val="28"/>
          <w:szCs w:val="28"/>
        </w:rPr>
        <w:t xml:space="preserve"> </w:t>
      </w:r>
      <w:proofErr w:type="gramStart"/>
      <w:r w:rsidRPr="00452569">
        <w:rPr>
          <w:sz w:val="28"/>
          <w:szCs w:val="28"/>
        </w:rPr>
        <w:t>године</w:t>
      </w:r>
      <w:proofErr w:type="gramEnd"/>
      <w:r w:rsidRPr="00452569">
        <w:rPr>
          <w:sz w:val="28"/>
          <w:szCs w:val="28"/>
        </w:rPr>
        <w:t xml:space="preserve"> предвиђено је да се заокружи процес постепеног увођења родно одговорног буџетирања за све буџетске кориснике на свим нивоима власти</w:t>
      </w:r>
      <w:r w:rsidR="00EF0A9E" w:rsidRPr="00452569">
        <w:rPr>
          <w:sz w:val="28"/>
          <w:szCs w:val="28"/>
          <w:lang w:val="sr-Cyrl-CS"/>
        </w:rPr>
        <w:t>.</w:t>
      </w:r>
    </w:p>
    <w:p w:rsidR="00EF0A9E" w:rsidRPr="00452569" w:rsidRDefault="00EF0A9E" w:rsidP="000B2A3A">
      <w:pPr>
        <w:spacing w:line="240" w:lineRule="auto"/>
        <w:rPr>
          <w:sz w:val="28"/>
          <w:szCs w:val="28"/>
          <w:lang w:val="sr-Cyrl-CS"/>
        </w:rPr>
      </w:pPr>
      <w:r w:rsidRPr="00452569">
        <w:rPr>
          <w:sz w:val="28"/>
          <w:szCs w:val="28"/>
          <w:lang w:val="sr-Cyrl-CS"/>
        </w:rPr>
        <w:t xml:space="preserve">Општинско веће Општине Владичин Хан усвојило је План увођења родно одговорног буџетирања у поступку припреме и доношења </w:t>
      </w:r>
      <w:r w:rsidR="00974295" w:rsidRPr="00452569">
        <w:rPr>
          <w:sz w:val="28"/>
          <w:szCs w:val="28"/>
          <w:lang w:val="sr-Cyrl-CS"/>
        </w:rPr>
        <w:t xml:space="preserve">буџета Општине Владичин Хан за 2017. </w:t>
      </w:r>
      <w:r w:rsidR="009546EF">
        <w:rPr>
          <w:sz w:val="28"/>
          <w:szCs w:val="28"/>
          <w:lang w:val="sr-Cyrl-CS"/>
        </w:rPr>
        <w:t>г</w:t>
      </w:r>
      <w:r w:rsidR="00974295" w:rsidRPr="00452569">
        <w:rPr>
          <w:sz w:val="28"/>
          <w:szCs w:val="28"/>
          <w:lang w:val="sr-Cyrl-CS"/>
        </w:rPr>
        <w:t xml:space="preserve">одину којим се дефинише група од 6 корисника буџетских средстава која треба да уради родну анализу расхода и издатака </w:t>
      </w:r>
      <w:r w:rsidR="00513335" w:rsidRPr="00452569">
        <w:rPr>
          <w:sz w:val="28"/>
          <w:szCs w:val="28"/>
          <w:lang w:val="sr-Cyrl-CS"/>
        </w:rPr>
        <w:t>за 2017. годину и то:</w:t>
      </w:r>
    </w:p>
    <w:tbl>
      <w:tblPr>
        <w:tblStyle w:val="TableGrid"/>
        <w:tblW w:w="0" w:type="auto"/>
        <w:tblLook w:val="04A0"/>
      </w:tblPr>
      <w:tblGrid>
        <w:gridCol w:w="1242"/>
        <w:gridCol w:w="8334"/>
      </w:tblGrid>
      <w:tr w:rsidR="00CA72C0" w:rsidRPr="00B03266" w:rsidTr="00CA72C0">
        <w:tc>
          <w:tcPr>
            <w:tcW w:w="124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CA72C0" w:rsidRPr="009F4383" w:rsidRDefault="00CA72C0" w:rsidP="009546EF">
            <w:pPr>
              <w:jc w:val="center"/>
              <w:rPr>
                <w:b/>
                <w:sz w:val="24"/>
                <w:szCs w:val="24"/>
                <w:lang w:val="sr-Cyrl-BA"/>
              </w:rPr>
            </w:pPr>
            <w:r>
              <w:rPr>
                <w:b/>
                <w:sz w:val="24"/>
                <w:szCs w:val="24"/>
                <w:lang w:val="sr-Cyrl-BA"/>
              </w:rPr>
              <w:t>Ред. број</w:t>
            </w:r>
          </w:p>
        </w:tc>
        <w:tc>
          <w:tcPr>
            <w:tcW w:w="8334" w:type="dxa"/>
            <w:tcBorders>
              <w:left w:val="single" w:sz="4" w:space="0" w:color="auto"/>
            </w:tcBorders>
            <w:shd w:val="clear" w:color="auto" w:fill="7F7F7F" w:themeFill="text1" w:themeFillTint="80"/>
          </w:tcPr>
          <w:p w:rsidR="00CA72C0" w:rsidRPr="00B03266" w:rsidRDefault="00CA72C0" w:rsidP="00CA72C0">
            <w:pPr>
              <w:rPr>
                <w:b/>
                <w:sz w:val="24"/>
                <w:szCs w:val="24"/>
                <w:lang w:val="sr-Cyrl-BA"/>
              </w:rPr>
            </w:pPr>
            <w:r>
              <w:rPr>
                <w:b/>
                <w:sz w:val="24"/>
                <w:szCs w:val="24"/>
                <w:lang w:val="sr-Cyrl-BA"/>
              </w:rPr>
              <w:t>Назив корисника буџетских средстава</w:t>
            </w:r>
          </w:p>
        </w:tc>
      </w:tr>
      <w:tr w:rsidR="00CA72C0" w:rsidTr="00CA72C0">
        <w:tc>
          <w:tcPr>
            <w:tcW w:w="1242" w:type="dxa"/>
            <w:tcBorders>
              <w:top w:val="single" w:sz="4" w:space="0" w:color="auto"/>
            </w:tcBorders>
          </w:tcPr>
          <w:p w:rsidR="00CA72C0" w:rsidRDefault="00CA72C0" w:rsidP="00CA72C0">
            <w:pPr>
              <w:jc w:val="center"/>
              <w:rPr>
                <w:sz w:val="24"/>
                <w:szCs w:val="24"/>
                <w:lang w:val="sr-Cyrl-BA"/>
              </w:rPr>
            </w:pPr>
            <w:r>
              <w:rPr>
                <w:sz w:val="24"/>
                <w:szCs w:val="24"/>
                <w:lang w:val="sr-Cyrl-BA"/>
              </w:rPr>
              <w:t>1</w:t>
            </w:r>
          </w:p>
        </w:tc>
        <w:tc>
          <w:tcPr>
            <w:tcW w:w="8334" w:type="dxa"/>
          </w:tcPr>
          <w:p w:rsidR="00CA72C0" w:rsidRDefault="00CA72C0" w:rsidP="00CA72C0">
            <w:pPr>
              <w:rPr>
                <w:sz w:val="24"/>
                <w:szCs w:val="24"/>
                <w:lang w:val="sr-Cyrl-BA"/>
              </w:rPr>
            </w:pPr>
            <w:r>
              <w:rPr>
                <w:sz w:val="24"/>
                <w:szCs w:val="24"/>
                <w:lang w:val="sr-Cyrl-BA"/>
              </w:rPr>
              <w:t>Буџетски фонд за спорт Владичин Хан</w:t>
            </w:r>
          </w:p>
        </w:tc>
      </w:tr>
      <w:tr w:rsidR="00CA72C0" w:rsidTr="00CA72C0">
        <w:tc>
          <w:tcPr>
            <w:tcW w:w="1242" w:type="dxa"/>
          </w:tcPr>
          <w:p w:rsidR="00CA72C0" w:rsidRDefault="00CA72C0" w:rsidP="00CA72C0">
            <w:pPr>
              <w:jc w:val="center"/>
              <w:rPr>
                <w:sz w:val="24"/>
                <w:szCs w:val="24"/>
                <w:lang w:val="sr-Cyrl-BA"/>
              </w:rPr>
            </w:pPr>
            <w:r>
              <w:rPr>
                <w:sz w:val="24"/>
                <w:szCs w:val="24"/>
                <w:lang w:val="sr-Cyrl-BA"/>
              </w:rPr>
              <w:t>2</w:t>
            </w:r>
          </w:p>
        </w:tc>
        <w:tc>
          <w:tcPr>
            <w:tcW w:w="8334" w:type="dxa"/>
          </w:tcPr>
          <w:p w:rsidR="00CA72C0" w:rsidRDefault="00CA72C0" w:rsidP="00CA72C0">
            <w:pPr>
              <w:rPr>
                <w:sz w:val="24"/>
                <w:szCs w:val="24"/>
                <w:lang w:val="sr-Cyrl-BA"/>
              </w:rPr>
            </w:pPr>
            <w:r>
              <w:rPr>
                <w:sz w:val="24"/>
                <w:szCs w:val="24"/>
                <w:lang w:val="sr-Cyrl-BA"/>
              </w:rPr>
              <w:t>Буџетски фонд за развој пољопривреде</w:t>
            </w:r>
          </w:p>
        </w:tc>
      </w:tr>
      <w:tr w:rsidR="00CA72C0" w:rsidTr="00CA72C0">
        <w:tc>
          <w:tcPr>
            <w:tcW w:w="1242" w:type="dxa"/>
          </w:tcPr>
          <w:p w:rsidR="00CA72C0" w:rsidRDefault="00CA72C0" w:rsidP="00CA72C0">
            <w:pPr>
              <w:jc w:val="center"/>
              <w:rPr>
                <w:sz w:val="24"/>
                <w:szCs w:val="24"/>
                <w:lang w:val="sr-Cyrl-BA"/>
              </w:rPr>
            </w:pPr>
            <w:r>
              <w:rPr>
                <w:sz w:val="24"/>
                <w:szCs w:val="24"/>
                <w:lang w:val="sr-Cyrl-BA"/>
              </w:rPr>
              <w:t>3</w:t>
            </w:r>
          </w:p>
        </w:tc>
        <w:tc>
          <w:tcPr>
            <w:tcW w:w="8334" w:type="dxa"/>
          </w:tcPr>
          <w:p w:rsidR="00CA72C0" w:rsidRDefault="00CA72C0" w:rsidP="00CA72C0">
            <w:pPr>
              <w:rPr>
                <w:sz w:val="24"/>
                <w:szCs w:val="24"/>
                <w:lang w:val="sr-Cyrl-BA"/>
              </w:rPr>
            </w:pPr>
            <w:r>
              <w:rPr>
                <w:sz w:val="24"/>
                <w:szCs w:val="24"/>
                <w:lang w:val="sr-Cyrl-BA"/>
              </w:rPr>
              <w:t>Црвени крст Србије - Владичин Хан</w:t>
            </w:r>
          </w:p>
        </w:tc>
      </w:tr>
      <w:tr w:rsidR="00CA72C0" w:rsidTr="00CA72C0">
        <w:tc>
          <w:tcPr>
            <w:tcW w:w="1242" w:type="dxa"/>
          </w:tcPr>
          <w:p w:rsidR="00CA72C0" w:rsidRDefault="00CA72C0" w:rsidP="00CA72C0">
            <w:pPr>
              <w:jc w:val="center"/>
              <w:rPr>
                <w:sz w:val="24"/>
                <w:szCs w:val="24"/>
                <w:lang w:val="sr-Cyrl-BA"/>
              </w:rPr>
            </w:pPr>
            <w:r>
              <w:rPr>
                <w:sz w:val="24"/>
                <w:szCs w:val="24"/>
                <w:lang w:val="sr-Cyrl-BA"/>
              </w:rPr>
              <w:lastRenderedPageBreak/>
              <w:t>4</w:t>
            </w:r>
          </w:p>
        </w:tc>
        <w:tc>
          <w:tcPr>
            <w:tcW w:w="8334" w:type="dxa"/>
          </w:tcPr>
          <w:p w:rsidR="00CA72C0" w:rsidRDefault="00CA72C0" w:rsidP="00CA72C0">
            <w:pPr>
              <w:rPr>
                <w:sz w:val="24"/>
                <w:szCs w:val="24"/>
                <w:lang w:val="sr-Cyrl-BA"/>
              </w:rPr>
            </w:pPr>
            <w:r>
              <w:rPr>
                <w:sz w:val="24"/>
                <w:szCs w:val="24"/>
                <w:lang w:val="sr-Cyrl-BA"/>
              </w:rPr>
              <w:t>Техничка школа Владичин Хан</w:t>
            </w:r>
          </w:p>
        </w:tc>
      </w:tr>
      <w:tr w:rsidR="00CA72C0" w:rsidTr="00CA72C0">
        <w:tc>
          <w:tcPr>
            <w:tcW w:w="1242" w:type="dxa"/>
          </w:tcPr>
          <w:p w:rsidR="00CA72C0" w:rsidRDefault="00CA72C0" w:rsidP="00CA72C0">
            <w:pPr>
              <w:jc w:val="center"/>
              <w:rPr>
                <w:sz w:val="24"/>
                <w:szCs w:val="24"/>
                <w:lang w:val="sr-Cyrl-BA"/>
              </w:rPr>
            </w:pPr>
            <w:r>
              <w:rPr>
                <w:sz w:val="24"/>
                <w:szCs w:val="24"/>
                <w:lang w:val="sr-Cyrl-BA"/>
              </w:rPr>
              <w:t>5</w:t>
            </w:r>
          </w:p>
        </w:tc>
        <w:tc>
          <w:tcPr>
            <w:tcW w:w="8334" w:type="dxa"/>
          </w:tcPr>
          <w:p w:rsidR="00CA72C0" w:rsidRDefault="00CA72C0" w:rsidP="00CA72C0">
            <w:pPr>
              <w:rPr>
                <w:sz w:val="24"/>
                <w:szCs w:val="24"/>
                <w:lang w:val="sr-Cyrl-BA"/>
              </w:rPr>
            </w:pPr>
            <w:r>
              <w:rPr>
                <w:sz w:val="24"/>
                <w:szCs w:val="24"/>
                <w:lang w:val="sr-Cyrl-BA"/>
              </w:rPr>
              <w:t>Центар за културне делатности, туризам и библиотекарство</w:t>
            </w:r>
          </w:p>
        </w:tc>
      </w:tr>
      <w:tr w:rsidR="00CA72C0" w:rsidTr="00CA72C0">
        <w:tc>
          <w:tcPr>
            <w:tcW w:w="1242" w:type="dxa"/>
          </w:tcPr>
          <w:p w:rsidR="00CA72C0" w:rsidRDefault="00CA72C0" w:rsidP="00CA72C0">
            <w:pPr>
              <w:jc w:val="center"/>
              <w:rPr>
                <w:sz w:val="24"/>
                <w:szCs w:val="24"/>
                <w:lang w:val="sr-Cyrl-BA"/>
              </w:rPr>
            </w:pPr>
            <w:r>
              <w:rPr>
                <w:sz w:val="24"/>
                <w:szCs w:val="24"/>
                <w:lang w:val="sr-Cyrl-BA"/>
              </w:rPr>
              <w:t>6</w:t>
            </w:r>
          </w:p>
        </w:tc>
        <w:tc>
          <w:tcPr>
            <w:tcW w:w="8334" w:type="dxa"/>
          </w:tcPr>
          <w:p w:rsidR="00CA72C0" w:rsidRDefault="00CA72C0" w:rsidP="00CA72C0">
            <w:pPr>
              <w:rPr>
                <w:sz w:val="24"/>
                <w:szCs w:val="24"/>
                <w:lang w:val="sr-Cyrl-BA"/>
              </w:rPr>
            </w:pPr>
            <w:r>
              <w:rPr>
                <w:sz w:val="24"/>
                <w:szCs w:val="24"/>
                <w:lang w:val="sr-Cyrl-BA"/>
              </w:rPr>
              <w:t>ОШ Вук Караџић - Стубал</w:t>
            </w:r>
          </w:p>
        </w:tc>
      </w:tr>
    </w:tbl>
    <w:p w:rsidR="00513335" w:rsidRDefault="00513335" w:rsidP="000B2A3A">
      <w:pPr>
        <w:spacing w:line="240" w:lineRule="auto"/>
        <w:rPr>
          <w:sz w:val="28"/>
          <w:szCs w:val="28"/>
          <w:lang w:val="sr-Cyrl-CS"/>
        </w:rPr>
      </w:pPr>
    </w:p>
    <w:p w:rsidR="009042BF" w:rsidRPr="009042BF" w:rsidRDefault="009042BF" w:rsidP="009042BF">
      <w:pPr>
        <w:spacing w:line="240" w:lineRule="auto"/>
        <w:rPr>
          <w:sz w:val="28"/>
          <w:szCs w:val="28"/>
          <w:lang w:val="sr-Cyrl-BA"/>
        </w:rPr>
      </w:pPr>
      <w:r w:rsidRPr="009042BF">
        <w:rPr>
          <w:sz w:val="28"/>
          <w:szCs w:val="28"/>
          <w:lang w:val="sr-Cyrl-BA"/>
        </w:rPr>
        <w:t>На основу родне анализе наведени корисници буџеских средстава треба да формулишу, у оквиру једног или више програма или програмских активности, најмање један циљ и одговарајуће индикаторе који адекватно мере допринос циља унапређењу равноправности између жена и мушкараца, тако да сви индикатори који се односе на лица буду разврстани по полу.</w:t>
      </w:r>
    </w:p>
    <w:p w:rsidR="009042BF" w:rsidRPr="009042BF" w:rsidRDefault="009042BF" w:rsidP="009042BF">
      <w:pPr>
        <w:spacing w:line="240" w:lineRule="auto"/>
        <w:rPr>
          <w:sz w:val="28"/>
          <w:szCs w:val="28"/>
          <w:lang w:val="sr-Cyrl-BA"/>
        </w:rPr>
      </w:pPr>
      <w:r w:rsidRPr="009042BF">
        <w:rPr>
          <w:sz w:val="28"/>
          <w:szCs w:val="28"/>
          <w:lang w:val="sr-Cyrl-BA"/>
        </w:rPr>
        <w:tab/>
        <w:t>У постављању циљева и припреми програма, односно програмских активности корисници буџетских средстава треба да користе релевантне националне стратегије и анализе, као што је Национална стратегија за родну равноправност за период од 2016. до 2020. године са Акционом планом за период од 2016. до 2018. године.</w:t>
      </w:r>
    </w:p>
    <w:p w:rsidR="009042BF" w:rsidRPr="008E3F84" w:rsidRDefault="009042BF" w:rsidP="009546EF">
      <w:pPr>
        <w:spacing w:line="240" w:lineRule="auto"/>
        <w:rPr>
          <w:sz w:val="28"/>
          <w:szCs w:val="28"/>
          <w:lang w:val="sr-Cyrl-BA"/>
        </w:rPr>
      </w:pPr>
      <w:r w:rsidRPr="008E3F84">
        <w:rPr>
          <w:sz w:val="28"/>
          <w:szCs w:val="28"/>
          <w:lang w:val="sr-Cyrl-BA"/>
        </w:rPr>
        <w:t xml:space="preserve">Упутство за увођење родно одговорног буџетирања </w:t>
      </w:r>
      <w:r w:rsidR="008E3F84">
        <w:rPr>
          <w:sz w:val="28"/>
          <w:szCs w:val="28"/>
          <w:lang w:val="sr-Cyrl-BA"/>
        </w:rPr>
        <w:t xml:space="preserve">Републике Србије биће </w:t>
      </w:r>
      <w:r w:rsidR="009546EF">
        <w:rPr>
          <w:sz w:val="28"/>
          <w:szCs w:val="28"/>
          <w:lang w:val="sr-Cyrl-BA"/>
        </w:rPr>
        <w:t>доступно на званичном сајту Општине Владичин Хан.</w:t>
      </w:r>
    </w:p>
    <w:p w:rsidR="00CA72C0" w:rsidRDefault="00221B81" w:rsidP="009546EF">
      <w:pPr>
        <w:spacing w:line="240" w:lineRule="auto"/>
        <w:rPr>
          <w:sz w:val="28"/>
          <w:szCs w:val="28"/>
          <w:lang w:val="sr-Cyrl-CS"/>
        </w:rPr>
      </w:pPr>
      <w:r w:rsidRPr="00581F28">
        <w:rPr>
          <w:sz w:val="28"/>
          <w:szCs w:val="28"/>
        </w:rPr>
        <w:t xml:space="preserve">У циљу економичног и ефикасног управљања јавним средствима, а полазећи од Извештаја о ревизији сврсисходности- </w:t>
      </w:r>
      <w:r w:rsidRPr="007F4E4E">
        <w:rPr>
          <w:b/>
          <w:sz w:val="28"/>
          <w:szCs w:val="28"/>
        </w:rPr>
        <w:t>Оправданост формирања комисија и других сталних и привремених радних тела у јавном сектору</w:t>
      </w:r>
      <w:r w:rsidRPr="00581F28">
        <w:rPr>
          <w:sz w:val="28"/>
          <w:szCs w:val="28"/>
        </w:rPr>
        <w:t xml:space="preserve">, неопходно је да се преиспита оправданост формираних комисија и других радних тела, као и потреба оснивања нових, осим оних предвиђених законом. Такође, приликом оснивања комисија и других радних тела потребно је да се јасно дефинишу циљ и задатак, број чланова, рок извршења задатака, висина накнаде, резултат рада комисије, начин извештавања о раду, начин контроле њиховог рада, као и да се успостави јединствена и свеобухватна евиденција о комисијама и другим радним телима. </w:t>
      </w:r>
      <w:proofErr w:type="gramStart"/>
      <w:r w:rsidRPr="00581F28">
        <w:rPr>
          <w:sz w:val="28"/>
          <w:szCs w:val="28"/>
        </w:rPr>
        <w:t>Као</w:t>
      </w:r>
      <w:r w:rsidR="00581F28" w:rsidRPr="00581F28">
        <w:rPr>
          <w:sz w:val="28"/>
          <w:szCs w:val="28"/>
          <w:lang w:val="sr-Cyrl-CS"/>
        </w:rPr>
        <w:t xml:space="preserve"> </w:t>
      </w:r>
      <w:r w:rsidR="00581F28" w:rsidRPr="00581F28">
        <w:rPr>
          <w:sz w:val="28"/>
          <w:szCs w:val="28"/>
        </w:rPr>
        <w:t xml:space="preserve">саставни део Упутства доставља се Прилог 3 - Преглед комисија и уговора који је потребно доставити </w:t>
      </w:r>
      <w:r w:rsidR="00581F28" w:rsidRPr="00581F28">
        <w:rPr>
          <w:sz w:val="28"/>
          <w:szCs w:val="28"/>
          <w:lang w:val="sr-Cyrl-CS"/>
        </w:rPr>
        <w:t xml:space="preserve">Одељењу за </w:t>
      </w:r>
      <w:r w:rsidR="00581F28" w:rsidRPr="00581F28">
        <w:rPr>
          <w:sz w:val="28"/>
          <w:szCs w:val="28"/>
        </w:rPr>
        <w:t>финансиј</w:t>
      </w:r>
      <w:r w:rsidR="00581F28" w:rsidRPr="00581F28">
        <w:rPr>
          <w:sz w:val="28"/>
          <w:szCs w:val="28"/>
          <w:lang w:val="sr-Cyrl-CS"/>
        </w:rPr>
        <w:t>е и привреду</w:t>
      </w:r>
      <w:r w:rsidR="00581F28" w:rsidRPr="00581F28">
        <w:rPr>
          <w:sz w:val="28"/>
          <w:szCs w:val="28"/>
        </w:rPr>
        <w:t xml:space="preserve"> на прописан начин.</w:t>
      </w:r>
      <w:proofErr w:type="gramEnd"/>
    </w:p>
    <w:p w:rsidR="00B5060B" w:rsidRDefault="00B5060B" w:rsidP="009546EF">
      <w:pPr>
        <w:spacing w:line="240" w:lineRule="auto"/>
        <w:rPr>
          <w:sz w:val="28"/>
          <w:szCs w:val="28"/>
          <w:lang w:val="sr-Cyrl-CS"/>
        </w:rPr>
      </w:pPr>
    </w:p>
    <w:p w:rsidR="00B5060B" w:rsidRDefault="00B5060B" w:rsidP="00B5060B">
      <w:pPr>
        <w:spacing w:line="240" w:lineRule="auto"/>
        <w:jc w:val="center"/>
        <w:rPr>
          <w:b/>
          <w:bCs/>
          <w:i/>
          <w:iCs/>
          <w:sz w:val="28"/>
          <w:szCs w:val="28"/>
          <w:lang w:val="sr-Cyrl-CS"/>
        </w:rPr>
      </w:pPr>
      <w:proofErr w:type="gramStart"/>
      <w:r w:rsidRPr="00B5060B">
        <w:rPr>
          <w:b/>
          <w:bCs/>
          <w:i/>
          <w:iCs/>
          <w:sz w:val="28"/>
          <w:szCs w:val="28"/>
        </w:rPr>
        <w:t>Планирање масе средстава за плате запослених у 2017.</w:t>
      </w:r>
      <w:proofErr w:type="gramEnd"/>
      <w:r w:rsidRPr="00B5060B">
        <w:rPr>
          <w:b/>
          <w:bCs/>
          <w:i/>
          <w:iCs/>
          <w:sz w:val="28"/>
          <w:szCs w:val="28"/>
        </w:rPr>
        <w:t xml:space="preserve"> Години</w:t>
      </w:r>
    </w:p>
    <w:p w:rsidR="00B5060B" w:rsidRDefault="00B5060B" w:rsidP="00B5060B">
      <w:pPr>
        <w:spacing w:line="240" w:lineRule="auto"/>
        <w:jc w:val="left"/>
        <w:rPr>
          <w:bCs/>
          <w:iCs/>
          <w:sz w:val="28"/>
          <w:szCs w:val="28"/>
          <w:lang w:val="sr-Cyrl-CS"/>
        </w:rPr>
      </w:pPr>
    </w:p>
    <w:p w:rsidR="00814B16" w:rsidRPr="00814B16" w:rsidRDefault="00814B16" w:rsidP="00814B16">
      <w:pPr>
        <w:pStyle w:val="Default"/>
        <w:jc w:val="center"/>
        <w:rPr>
          <w:sz w:val="28"/>
          <w:szCs w:val="28"/>
        </w:rPr>
      </w:pPr>
      <w:r w:rsidRPr="00814B16">
        <w:rPr>
          <w:b/>
          <w:bCs/>
          <w:i/>
          <w:iCs/>
          <w:sz w:val="28"/>
          <w:szCs w:val="28"/>
        </w:rPr>
        <w:t>1. Законско уређење плата</w:t>
      </w:r>
    </w:p>
    <w:p w:rsidR="00814B16" w:rsidRPr="00814B16" w:rsidRDefault="00814B16" w:rsidP="00777608">
      <w:pPr>
        <w:pStyle w:val="Default"/>
        <w:jc w:val="both"/>
        <w:rPr>
          <w:sz w:val="28"/>
          <w:szCs w:val="28"/>
        </w:rPr>
      </w:pPr>
      <w:r w:rsidRPr="00814B16">
        <w:rPr>
          <w:sz w:val="28"/>
          <w:szCs w:val="28"/>
        </w:rPr>
        <w:t xml:space="preserve">Плате запослених код корисника буџета </w:t>
      </w:r>
      <w:r>
        <w:rPr>
          <w:sz w:val="28"/>
          <w:szCs w:val="28"/>
          <w:lang w:val="sr-Cyrl-CS"/>
        </w:rPr>
        <w:t>Општине</w:t>
      </w:r>
      <w:r w:rsidRPr="00814B16">
        <w:rPr>
          <w:sz w:val="28"/>
          <w:szCs w:val="28"/>
        </w:rPr>
        <w:t xml:space="preserve"> уређене су у складу са Законом о платама у државним органима и јавним службама („Службени гласник РС", бр. 62/06...99/14), Законом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 и Уредбом о коефицијентима за обрачун и исплату плата именованих и постављених лица и запослених у државним органима („Службени гласник РС", бр. 44/08 - пречишћен текст и 2/12). </w:t>
      </w:r>
    </w:p>
    <w:p w:rsidR="00814B16" w:rsidRPr="00814B16" w:rsidRDefault="00814B16" w:rsidP="00777608">
      <w:pPr>
        <w:pStyle w:val="Default"/>
        <w:jc w:val="both"/>
        <w:rPr>
          <w:sz w:val="28"/>
          <w:szCs w:val="28"/>
        </w:rPr>
      </w:pPr>
      <w:proofErr w:type="gramStart"/>
      <w:r w:rsidRPr="00814B16">
        <w:rPr>
          <w:sz w:val="28"/>
          <w:szCs w:val="28"/>
        </w:rPr>
        <w:t xml:space="preserve">Приликом обрачуна и исплате плата за запослене у предшколским установама и другим јавним службама (установе културе) не примењује се Уредба о </w:t>
      </w:r>
      <w:r w:rsidRPr="00814B16">
        <w:rPr>
          <w:sz w:val="28"/>
          <w:szCs w:val="28"/>
        </w:rPr>
        <w:lastRenderedPageBreak/>
        <w:t>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(„Службени гласник РС", бр. 44/01...58/14).</w:t>
      </w:r>
      <w:proofErr w:type="gramEnd"/>
      <w:r w:rsidRPr="00814B16">
        <w:rPr>
          <w:sz w:val="28"/>
          <w:szCs w:val="28"/>
        </w:rPr>
        <w:t xml:space="preserve"> </w:t>
      </w:r>
    </w:p>
    <w:p w:rsidR="00814B16" w:rsidRDefault="00814B16" w:rsidP="00777608">
      <w:pPr>
        <w:spacing w:line="240" w:lineRule="auto"/>
        <w:rPr>
          <w:sz w:val="28"/>
          <w:szCs w:val="28"/>
          <w:lang w:val="sr-Cyrl-CS"/>
        </w:rPr>
      </w:pPr>
      <w:proofErr w:type="gramStart"/>
      <w:r w:rsidRPr="00814B16">
        <w:rPr>
          <w:sz w:val="28"/>
          <w:szCs w:val="28"/>
        </w:rPr>
        <w:t>Приликом обрачуна и исплате плата примењују се основице према закључцима Владе Републике Србије.</w:t>
      </w:r>
      <w:proofErr w:type="gramEnd"/>
    </w:p>
    <w:p w:rsidR="00777608" w:rsidRDefault="00777608" w:rsidP="00777608">
      <w:pPr>
        <w:spacing w:line="240" w:lineRule="auto"/>
        <w:rPr>
          <w:sz w:val="28"/>
          <w:szCs w:val="28"/>
          <w:lang w:val="sr-Cyrl-CS"/>
        </w:rPr>
      </w:pPr>
    </w:p>
    <w:p w:rsidR="00777608" w:rsidRPr="00777608" w:rsidRDefault="00777608" w:rsidP="00777608">
      <w:pPr>
        <w:pStyle w:val="Default"/>
        <w:jc w:val="center"/>
        <w:rPr>
          <w:sz w:val="28"/>
          <w:szCs w:val="28"/>
        </w:rPr>
      </w:pPr>
      <w:r w:rsidRPr="00777608">
        <w:rPr>
          <w:b/>
          <w:bCs/>
          <w:i/>
          <w:iCs/>
          <w:sz w:val="28"/>
          <w:szCs w:val="28"/>
        </w:rPr>
        <w:t>2. Законом уређена основица за обрачун плата</w:t>
      </w:r>
    </w:p>
    <w:p w:rsidR="00777608" w:rsidRDefault="00777608" w:rsidP="00777608">
      <w:pPr>
        <w:spacing w:line="240" w:lineRule="auto"/>
        <w:rPr>
          <w:sz w:val="28"/>
          <w:szCs w:val="28"/>
          <w:lang w:val="sr-Cyrl-CS"/>
        </w:rPr>
      </w:pPr>
      <w:proofErr w:type="gramStart"/>
      <w:r w:rsidRPr="00777608">
        <w:rPr>
          <w:sz w:val="28"/>
          <w:szCs w:val="28"/>
        </w:rPr>
        <w:t>И током 2017.</w:t>
      </w:r>
      <w:proofErr w:type="gramEnd"/>
      <w:r w:rsidRPr="00777608">
        <w:rPr>
          <w:sz w:val="28"/>
          <w:szCs w:val="28"/>
        </w:rPr>
        <w:t xml:space="preserve"> </w:t>
      </w:r>
      <w:proofErr w:type="gramStart"/>
      <w:r w:rsidRPr="00777608">
        <w:rPr>
          <w:sz w:val="28"/>
          <w:szCs w:val="28"/>
        </w:rPr>
        <w:t>године</w:t>
      </w:r>
      <w:proofErr w:type="gramEnd"/>
      <w:r w:rsidRPr="00777608">
        <w:rPr>
          <w:sz w:val="28"/>
          <w:szCs w:val="28"/>
        </w:rPr>
        <w:t xml:space="preserve"> примењују се одредбе Закона о привременом уређивању основица за обрачун и исплату плата, односно зарада и других сталних примања код корисника јавних средстава (у даљем тексту: Закон), који је објављен у „Службеном гласнику РС", број 116/14 од 27. </w:t>
      </w:r>
      <w:proofErr w:type="gramStart"/>
      <w:r w:rsidRPr="00777608">
        <w:rPr>
          <w:sz w:val="28"/>
          <w:szCs w:val="28"/>
        </w:rPr>
        <w:t>октобра</w:t>
      </w:r>
      <w:proofErr w:type="gramEnd"/>
      <w:r w:rsidRPr="00777608">
        <w:rPr>
          <w:sz w:val="28"/>
          <w:szCs w:val="28"/>
        </w:rPr>
        <w:t xml:space="preserve"> 2014. </w:t>
      </w:r>
      <w:proofErr w:type="gramStart"/>
      <w:r w:rsidRPr="00777608">
        <w:rPr>
          <w:sz w:val="28"/>
          <w:szCs w:val="28"/>
        </w:rPr>
        <w:t>године</w:t>
      </w:r>
      <w:proofErr w:type="gramEnd"/>
      <w:r w:rsidRPr="00777608">
        <w:rPr>
          <w:sz w:val="28"/>
          <w:szCs w:val="28"/>
        </w:rPr>
        <w:t>.</w:t>
      </w:r>
    </w:p>
    <w:p w:rsidR="00777608" w:rsidRDefault="005708B6" w:rsidP="00777608">
      <w:pPr>
        <w:spacing w:line="240" w:lineRule="auto"/>
        <w:rPr>
          <w:sz w:val="28"/>
          <w:szCs w:val="28"/>
          <w:lang w:val="sr-Cyrl-CS"/>
        </w:rPr>
      </w:pPr>
      <w:r>
        <w:rPr>
          <w:sz w:val="28"/>
          <w:szCs w:val="28"/>
          <w:lang w:val="sr-Cyrl-CS"/>
        </w:rPr>
        <w:t>У</w:t>
      </w:r>
      <w:r w:rsidRPr="005708B6">
        <w:rPr>
          <w:sz w:val="28"/>
          <w:szCs w:val="28"/>
        </w:rPr>
        <w:t>очено је да поједин</w:t>
      </w:r>
      <w:r>
        <w:rPr>
          <w:sz w:val="28"/>
          <w:szCs w:val="28"/>
          <w:lang w:val="sr-Cyrl-CS"/>
        </w:rPr>
        <w:t>и корисници буџета</w:t>
      </w:r>
      <w:r w:rsidRPr="005708B6">
        <w:rPr>
          <w:sz w:val="28"/>
          <w:szCs w:val="28"/>
        </w:rPr>
        <w:t xml:space="preserve"> нису доставил</w:t>
      </w:r>
      <w:r>
        <w:rPr>
          <w:sz w:val="28"/>
          <w:szCs w:val="28"/>
          <w:lang w:val="sr-Cyrl-CS"/>
        </w:rPr>
        <w:t>и</w:t>
      </w:r>
      <w:r w:rsidRPr="005708B6">
        <w:rPr>
          <w:sz w:val="28"/>
          <w:szCs w:val="28"/>
        </w:rPr>
        <w:t xml:space="preserve"> обавештење о броју запослених за који није могло бити извршено умањење за 10% у складу са Законом, тако да је неопходно да у </w:t>
      </w:r>
      <w:r w:rsidR="00CA65E8">
        <w:rPr>
          <w:sz w:val="28"/>
          <w:szCs w:val="28"/>
          <w:lang w:val="sr-Cyrl-CS"/>
        </w:rPr>
        <w:t>финансијским плановима</w:t>
      </w:r>
      <w:r w:rsidRPr="005708B6">
        <w:rPr>
          <w:sz w:val="28"/>
          <w:szCs w:val="28"/>
        </w:rPr>
        <w:t xml:space="preserve"> за 2017. годину буде наведен број запослених код којих се приликом обрачуна и исплате плате није могло извршити наведено умањење, као и средства за које укупан износ средстава није могао бити умањен по наведеном основу (пример: износ умањења од 10% је 10.000.000 динара, не може се умањити за 2.000.000 динара јер су плате за 50 запослених на нивоу од 25.000 динара, тако да је износ умањења 8.000.000 динара).</w:t>
      </w:r>
    </w:p>
    <w:p w:rsidR="00CA65E8" w:rsidRDefault="00CA65E8" w:rsidP="00777608">
      <w:pPr>
        <w:spacing w:line="240" w:lineRule="auto"/>
        <w:rPr>
          <w:sz w:val="28"/>
          <w:szCs w:val="28"/>
          <w:lang w:val="sr-Cyrl-CS"/>
        </w:rPr>
      </w:pPr>
    </w:p>
    <w:p w:rsidR="00CA65E8" w:rsidRDefault="00CA65E8" w:rsidP="00CA65E8">
      <w:pPr>
        <w:pStyle w:val="ListParagraph"/>
        <w:numPr>
          <w:ilvl w:val="0"/>
          <w:numId w:val="2"/>
        </w:numPr>
        <w:spacing w:line="240" w:lineRule="auto"/>
        <w:jc w:val="center"/>
        <w:rPr>
          <w:b/>
          <w:bCs/>
          <w:i/>
          <w:iCs/>
          <w:sz w:val="28"/>
          <w:szCs w:val="28"/>
          <w:lang w:val="sr-Cyrl-CS"/>
        </w:rPr>
      </w:pPr>
      <w:r w:rsidRPr="00CA65E8">
        <w:rPr>
          <w:b/>
          <w:bCs/>
          <w:i/>
          <w:iCs/>
          <w:sz w:val="28"/>
          <w:szCs w:val="28"/>
        </w:rPr>
        <w:t xml:space="preserve">Планирање масе средстава за плате у одлукама о буџету за 2017. </w:t>
      </w:r>
      <w:r w:rsidR="008E503A">
        <w:rPr>
          <w:b/>
          <w:bCs/>
          <w:i/>
          <w:iCs/>
          <w:sz w:val="28"/>
          <w:szCs w:val="28"/>
          <w:lang w:val="sr-Cyrl-CS"/>
        </w:rPr>
        <w:t>г</w:t>
      </w:r>
      <w:r w:rsidRPr="00CA65E8">
        <w:rPr>
          <w:b/>
          <w:bCs/>
          <w:i/>
          <w:iCs/>
          <w:sz w:val="28"/>
          <w:szCs w:val="28"/>
        </w:rPr>
        <w:t>одину</w:t>
      </w:r>
    </w:p>
    <w:p w:rsidR="00CA65E8" w:rsidRDefault="00D46AD3" w:rsidP="00F7120F">
      <w:pPr>
        <w:spacing w:line="240" w:lineRule="auto"/>
        <w:rPr>
          <w:sz w:val="28"/>
          <w:szCs w:val="28"/>
          <w:lang w:val="sr-Cyrl-CS"/>
        </w:rPr>
      </w:pPr>
      <w:r>
        <w:rPr>
          <w:sz w:val="28"/>
          <w:szCs w:val="28"/>
          <w:lang w:val="sr-Cyrl-CS"/>
        </w:rPr>
        <w:t>Буџетски корисници</w:t>
      </w:r>
      <w:r w:rsidRPr="00D46AD3">
        <w:rPr>
          <w:sz w:val="28"/>
          <w:szCs w:val="28"/>
        </w:rPr>
        <w:t xml:space="preserve"> у 2017. </w:t>
      </w:r>
      <w:proofErr w:type="gramStart"/>
      <w:r w:rsidRPr="00D46AD3">
        <w:rPr>
          <w:sz w:val="28"/>
          <w:szCs w:val="28"/>
        </w:rPr>
        <w:t>години</w:t>
      </w:r>
      <w:proofErr w:type="gramEnd"/>
      <w:r w:rsidRPr="00D46AD3">
        <w:rPr>
          <w:sz w:val="28"/>
          <w:szCs w:val="28"/>
        </w:rPr>
        <w:t xml:space="preserve"> мо</w:t>
      </w:r>
      <w:r>
        <w:rPr>
          <w:sz w:val="28"/>
          <w:szCs w:val="28"/>
          <w:lang w:val="sr-Cyrl-CS"/>
        </w:rPr>
        <w:t>гу</w:t>
      </w:r>
      <w:r w:rsidRPr="00D46AD3">
        <w:rPr>
          <w:sz w:val="28"/>
          <w:szCs w:val="28"/>
        </w:rPr>
        <w:t xml:space="preserve"> планирати укупна средства потребна за исплату плата запослених које се финансирају из буџета </w:t>
      </w:r>
      <w:r>
        <w:rPr>
          <w:sz w:val="28"/>
          <w:szCs w:val="28"/>
          <w:lang w:val="sr-Cyrl-CS"/>
        </w:rPr>
        <w:t>Општине</w:t>
      </w:r>
      <w:r w:rsidRPr="00D46AD3">
        <w:rPr>
          <w:sz w:val="28"/>
          <w:szCs w:val="28"/>
        </w:rPr>
        <w:t xml:space="preserve">, тако да масу средстава за исплату плата планирају на нивоу исплаћених плата у 2016. </w:t>
      </w:r>
      <w:r>
        <w:rPr>
          <w:sz w:val="28"/>
          <w:szCs w:val="28"/>
          <w:lang w:val="sr-Cyrl-CS"/>
        </w:rPr>
        <w:t>г</w:t>
      </w:r>
      <w:r w:rsidRPr="00D46AD3">
        <w:rPr>
          <w:sz w:val="28"/>
          <w:szCs w:val="28"/>
        </w:rPr>
        <w:t>одини</w:t>
      </w:r>
      <w:r>
        <w:rPr>
          <w:sz w:val="28"/>
          <w:szCs w:val="28"/>
          <w:lang w:val="sr-Cyrl-CS"/>
        </w:rPr>
        <w:t>.</w:t>
      </w:r>
    </w:p>
    <w:p w:rsidR="00713DC8" w:rsidRPr="008E503A" w:rsidRDefault="00713DC8" w:rsidP="00F7120F">
      <w:pPr>
        <w:spacing w:line="240" w:lineRule="auto"/>
        <w:rPr>
          <w:sz w:val="28"/>
          <w:szCs w:val="28"/>
          <w:lang w:val="sr-Cyrl-CS"/>
        </w:rPr>
      </w:pPr>
      <w:proofErr w:type="gramStart"/>
      <w:r w:rsidRPr="008E503A">
        <w:rPr>
          <w:sz w:val="28"/>
          <w:szCs w:val="28"/>
        </w:rPr>
        <w:t>Средства за решавање смањења броја запослених треба пребацити са економских класификација 411 и 412 на економску класификацију 414.</w:t>
      </w:r>
      <w:proofErr w:type="gramEnd"/>
    </w:p>
    <w:p w:rsidR="00713DC8" w:rsidRPr="008E503A" w:rsidRDefault="00713DC8" w:rsidP="00F7120F">
      <w:pPr>
        <w:spacing w:line="240" w:lineRule="auto"/>
        <w:rPr>
          <w:sz w:val="28"/>
          <w:szCs w:val="28"/>
          <w:lang w:val="sr-Cyrl-CS"/>
        </w:rPr>
      </w:pPr>
    </w:p>
    <w:p w:rsidR="008E503A" w:rsidRPr="008E503A" w:rsidRDefault="008E503A" w:rsidP="00D46AD3">
      <w:pPr>
        <w:spacing w:line="240" w:lineRule="auto"/>
        <w:jc w:val="left"/>
        <w:rPr>
          <w:bCs/>
          <w:iCs/>
          <w:sz w:val="28"/>
          <w:szCs w:val="28"/>
          <w:lang w:val="sr-Cyrl-CS"/>
        </w:rPr>
      </w:pPr>
      <w:r w:rsidRPr="008E503A">
        <w:rPr>
          <w:b/>
          <w:bCs/>
          <w:i/>
          <w:iCs/>
          <w:sz w:val="28"/>
          <w:szCs w:val="28"/>
        </w:rPr>
        <w:t xml:space="preserve">4. Планирање броја запослених у 2017. </w:t>
      </w:r>
      <w:proofErr w:type="gramStart"/>
      <w:r w:rsidRPr="008E503A">
        <w:rPr>
          <w:b/>
          <w:bCs/>
          <w:i/>
          <w:iCs/>
          <w:sz w:val="28"/>
          <w:szCs w:val="28"/>
        </w:rPr>
        <w:t>години</w:t>
      </w:r>
      <w:proofErr w:type="gramEnd"/>
    </w:p>
    <w:p w:rsidR="00CA65E8" w:rsidRDefault="008E503A" w:rsidP="005B71D9">
      <w:pPr>
        <w:spacing w:line="240" w:lineRule="auto"/>
        <w:jc w:val="left"/>
        <w:rPr>
          <w:b/>
          <w:bCs/>
          <w:sz w:val="28"/>
          <w:szCs w:val="28"/>
          <w:lang w:val="sr-Cyrl-CS"/>
        </w:rPr>
      </w:pPr>
      <w:r w:rsidRPr="008E503A">
        <w:rPr>
          <w:b/>
          <w:bCs/>
          <w:sz w:val="28"/>
          <w:szCs w:val="28"/>
          <w:lang w:val="sr-Cyrl-CS"/>
        </w:rPr>
        <w:t>С</w:t>
      </w:r>
      <w:r w:rsidRPr="008E503A">
        <w:rPr>
          <w:b/>
          <w:bCs/>
          <w:sz w:val="28"/>
          <w:szCs w:val="28"/>
        </w:rPr>
        <w:t>ваки организациони облик може имати највише онолики број запослених на неодређено време, за који има обезбеђена средства за зараде.</w:t>
      </w:r>
    </w:p>
    <w:p w:rsidR="005B71D9" w:rsidRPr="005B71D9" w:rsidRDefault="005B71D9" w:rsidP="005B71D9">
      <w:pPr>
        <w:pStyle w:val="Default"/>
        <w:ind w:firstLine="567"/>
        <w:rPr>
          <w:sz w:val="28"/>
          <w:szCs w:val="28"/>
        </w:rPr>
      </w:pPr>
      <w:r w:rsidRPr="005B71D9">
        <w:rPr>
          <w:sz w:val="28"/>
          <w:szCs w:val="28"/>
        </w:rPr>
        <w:t xml:space="preserve">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организационог облика (члан 10. став 1.). </w:t>
      </w:r>
      <w:proofErr w:type="gramStart"/>
      <w:r w:rsidRPr="005B71D9">
        <w:rPr>
          <w:sz w:val="28"/>
          <w:szCs w:val="28"/>
        </w:rPr>
        <w:t>Организациони облик који има мање од 100 запослених може да има највише до 10 запослених или ангажованих лица у смислу става 1.</w:t>
      </w:r>
      <w:proofErr w:type="gramEnd"/>
      <w:r w:rsidRPr="005B71D9">
        <w:rPr>
          <w:sz w:val="28"/>
          <w:szCs w:val="28"/>
        </w:rPr>
        <w:t xml:space="preserve"> </w:t>
      </w:r>
      <w:proofErr w:type="gramStart"/>
      <w:r w:rsidRPr="005B71D9">
        <w:rPr>
          <w:sz w:val="28"/>
          <w:szCs w:val="28"/>
        </w:rPr>
        <w:t>овог</w:t>
      </w:r>
      <w:proofErr w:type="gramEnd"/>
      <w:r w:rsidRPr="005B71D9">
        <w:rPr>
          <w:sz w:val="28"/>
          <w:szCs w:val="28"/>
        </w:rPr>
        <w:t xml:space="preserve"> члана (став 2.). </w:t>
      </w:r>
    </w:p>
    <w:p w:rsidR="005B71D9" w:rsidRDefault="005B71D9" w:rsidP="005D382A">
      <w:pPr>
        <w:spacing w:line="240" w:lineRule="auto"/>
        <w:rPr>
          <w:sz w:val="28"/>
          <w:szCs w:val="28"/>
          <w:lang w:val="sr-Cyrl-CS"/>
        </w:rPr>
      </w:pPr>
      <w:proofErr w:type="gramStart"/>
      <w:r w:rsidRPr="005B71D9">
        <w:rPr>
          <w:sz w:val="28"/>
          <w:szCs w:val="28"/>
        </w:rPr>
        <w:lastRenderedPageBreak/>
        <w:t>Члан 12.</w:t>
      </w:r>
      <w:proofErr w:type="gramEnd"/>
      <w:r w:rsidRPr="005B71D9">
        <w:rPr>
          <w:sz w:val="28"/>
          <w:szCs w:val="28"/>
        </w:rPr>
        <w:t xml:space="preserve"> </w:t>
      </w:r>
      <w:proofErr w:type="gramStart"/>
      <w:r w:rsidRPr="005B71D9">
        <w:rPr>
          <w:sz w:val="28"/>
          <w:szCs w:val="28"/>
        </w:rPr>
        <w:t>став</w:t>
      </w:r>
      <w:proofErr w:type="gramEnd"/>
      <w:r w:rsidRPr="005B71D9">
        <w:rPr>
          <w:sz w:val="28"/>
          <w:szCs w:val="28"/>
        </w:rPr>
        <w:t xml:space="preserve"> 3. </w:t>
      </w:r>
      <w:proofErr w:type="gramStart"/>
      <w:r w:rsidRPr="005B71D9">
        <w:rPr>
          <w:sz w:val="28"/>
          <w:szCs w:val="28"/>
        </w:rPr>
        <w:t>овог</w:t>
      </w:r>
      <w:proofErr w:type="gramEnd"/>
      <w:r w:rsidRPr="005B71D9">
        <w:rPr>
          <w:sz w:val="28"/>
          <w:szCs w:val="28"/>
        </w:rPr>
        <w:t xml:space="preserve"> закона, прописује да се повећање броја запослених на неодређено време, до доношења акта о систематизацији усклађеног са актом о максималном броју запослених за 2017. </w:t>
      </w:r>
      <w:proofErr w:type="gramStart"/>
      <w:r w:rsidRPr="005B71D9">
        <w:rPr>
          <w:sz w:val="28"/>
          <w:szCs w:val="28"/>
        </w:rPr>
        <w:t>годину</w:t>
      </w:r>
      <w:proofErr w:type="gramEnd"/>
      <w:r w:rsidRPr="005B71D9">
        <w:rPr>
          <w:sz w:val="28"/>
          <w:szCs w:val="28"/>
        </w:rPr>
        <w:t>, врши у складу са прописима којима се уређује буџетски систем, односно организациони облици траже повећање броја запослених преко надлежног органа локалне власти и Министарства државне управе и локалне самоуправе од Комисије Владе.</w:t>
      </w:r>
    </w:p>
    <w:p w:rsidR="005D382A" w:rsidRPr="005D382A" w:rsidRDefault="005D382A" w:rsidP="005D382A">
      <w:pPr>
        <w:pStyle w:val="Default"/>
        <w:ind w:firstLine="567"/>
        <w:jc w:val="both"/>
        <w:rPr>
          <w:b/>
          <w:sz w:val="28"/>
          <w:szCs w:val="28"/>
        </w:rPr>
      </w:pPr>
      <w:proofErr w:type="gramStart"/>
      <w:r w:rsidRPr="005D382A">
        <w:rPr>
          <w:sz w:val="28"/>
          <w:szCs w:val="28"/>
        </w:rPr>
        <w:t xml:space="preserve">Посебно указујемо на примену одредбе члана 27е Закона о буџетском систему према којој </w:t>
      </w:r>
      <w:r w:rsidRPr="005D382A">
        <w:rPr>
          <w:b/>
          <w:sz w:val="28"/>
          <w:szCs w:val="28"/>
        </w:rPr>
        <w:t>предшколске установе и установе културе нису изузете, односно за ново запошљавање у предшколским установама и установама културе подносе се захтеви за ново запошљавање.</w:t>
      </w:r>
      <w:proofErr w:type="gramEnd"/>
      <w:r w:rsidRPr="005D382A">
        <w:rPr>
          <w:b/>
          <w:sz w:val="28"/>
          <w:szCs w:val="28"/>
        </w:rPr>
        <w:t xml:space="preserve"> </w:t>
      </w:r>
    </w:p>
    <w:p w:rsidR="005D382A" w:rsidRPr="005D382A" w:rsidRDefault="005D382A" w:rsidP="005D382A">
      <w:pPr>
        <w:pStyle w:val="Default"/>
        <w:jc w:val="both"/>
        <w:rPr>
          <w:sz w:val="28"/>
          <w:szCs w:val="28"/>
        </w:rPr>
      </w:pPr>
      <w:r w:rsidRPr="005D382A">
        <w:rPr>
          <w:sz w:val="28"/>
          <w:szCs w:val="28"/>
        </w:rPr>
        <w:t xml:space="preserve">Табела са бројем запослених и планираном масом средстава за плате запослених на економским класификацијама 411 и 412 по корисницима и изворима финансирања (Табела 1.) и табела са бројем запослених чије се плате исплаћују из буџета са осталих економских класификација (Табела 2.) дате су у Прилогу 1. </w:t>
      </w:r>
    </w:p>
    <w:p w:rsidR="005D382A" w:rsidRPr="005D382A" w:rsidRDefault="005D382A" w:rsidP="005D382A">
      <w:pPr>
        <w:pStyle w:val="Default"/>
        <w:jc w:val="both"/>
        <w:rPr>
          <w:sz w:val="28"/>
          <w:szCs w:val="28"/>
        </w:rPr>
      </w:pPr>
    </w:p>
    <w:p w:rsidR="005D382A" w:rsidRPr="005D382A" w:rsidRDefault="005D382A" w:rsidP="005D382A">
      <w:pPr>
        <w:pStyle w:val="Default"/>
        <w:jc w:val="both"/>
        <w:rPr>
          <w:sz w:val="28"/>
          <w:szCs w:val="28"/>
        </w:rPr>
      </w:pPr>
      <w:proofErr w:type="gramStart"/>
      <w:r w:rsidRPr="005D382A">
        <w:rPr>
          <w:sz w:val="28"/>
          <w:szCs w:val="28"/>
        </w:rPr>
        <w:t>У истом прилогу у Табели 3.</w:t>
      </w:r>
      <w:proofErr w:type="gramEnd"/>
      <w:r w:rsidRPr="005D382A">
        <w:rPr>
          <w:sz w:val="28"/>
          <w:szCs w:val="28"/>
        </w:rPr>
        <w:t xml:space="preserve"> </w:t>
      </w:r>
      <w:proofErr w:type="gramStart"/>
      <w:r w:rsidRPr="005D382A">
        <w:rPr>
          <w:sz w:val="28"/>
          <w:szCs w:val="28"/>
        </w:rPr>
        <w:t>приказују</w:t>
      </w:r>
      <w:proofErr w:type="gramEnd"/>
      <w:r w:rsidRPr="005D382A">
        <w:rPr>
          <w:sz w:val="28"/>
          <w:szCs w:val="28"/>
        </w:rPr>
        <w:t xml:space="preserve"> се планирана и исплаћена средства у 2016. </w:t>
      </w:r>
      <w:proofErr w:type="gramStart"/>
      <w:r w:rsidRPr="005D382A">
        <w:rPr>
          <w:sz w:val="28"/>
          <w:szCs w:val="28"/>
        </w:rPr>
        <w:t>години</w:t>
      </w:r>
      <w:proofErr w:type="gramEnd"/>
      <w:r w:rsidRPr="005D382A">
        <w:rPr>
          <w:sz w:val="28"/>
          <w:szCs w:val="28"/>
        </w:rPr>
        <w:t xml:space="preserve"> и планирана средства у 2017. </w:t>
      </w:r>
      <w:proofErr w:type="gramStart"/>
      <w:r w:rsidRPr="005D382A">
        <w:rPr>
          <w:sz w:val="28"/>
          <w:szCs w:val="28"/>
        </w:rPr>
        <w:t>години</w:t>
      </w:r>
      <w:proofErr w:type="gramEnd"/>
      <w:r w:rsidRPr="005D382A">
        <w:rPr>
          <w:sz w:val="28"/>
          <w:szCs w:val="28"/>
        </w:rPr>
        <w:t xml:space="preserve"> на економској класификацији 465, као и маса средстава и број запослених чија је плата мања од 25.000 динара. </w:t>
      </w:r>
    </w:p>
    <w:p w:rsidR="005D382A" w:rsidRPr="005D382A" w:rsidRDefault="005D382A" w:rsidP="005D382A">
      <w:pPr>
        <w:pStyle w:val="Default"/>
        <w:jc w:val="both"/>
        <w:rPr>
          <w:sz w:val="28"/>
          <w:szCs w:val="28"/>
        </w:rPr>
      </w:pPr>
      <w:proofErr w:type="gramStart"/>
      <w:r w:rsidRPr="005D382A">
        <w:rPr>
          <w:sz w:val="28"/>
          <w:szCs w:val="28"/>
        </w:rPr>
        <w:t>Табела 4.</w:t>
      </w:r>
      <w:proofErr w:type="gramEnd"/>
      <w:r w:rsidRPr="005D382A">
        <w:rPr>
          <w:sz w:val="28"/>
          <w:szCs w:val="28"/>
        </w:rPr>
        <w:t xml:space="preserve"> </w:t>
      </w:r>
      <w:proofErr w:type="gramStart"/>
      <w:r w:rsidRPr="005D382A">
        <w:rPr>
          <w:sz w:val="28"/>
          <w:szCs w:val="28"/>
        </w:rPr>
        <w:t>представља</w:t>
      </w:r>
      <w:proofErr w:type="gramEnd"/>
      <w:r w:rsidRPr="005D382A">
        <w:rPr>
          <w:sz w:val="28"/>
          <w:szCs w:val="28"/>
        </w:rPr>
        <w:t xml:space="preserve"> преглед планираних и исплаћених средстава за плате и броја запослених у 2016. </w:t>
      </w:r>
      <w:proofErr w:type="gramStart"/>
      <w:r w:rsidRPr="005D382A">
        <w:rPr>
          <w:sz w:val="28"/>
          <w:szCs w:val="28"/>
        </w:rPr>
        <w:t>години</w:t>
      </w:r>
      <w:proofErr w:type="gramEnd"/>
      <w:r w:rsidRPr="005D382A">
        <w:rPr>
          <w:sz w:val="28"/>
          <w:szCs w:val="28"/>
        </w:rPr>
        <w:t xml:space="preserve"> и планираних средстава у 2017. </w:t>
      </w:r>
      <w:proofErr w:type="gramStart"/>
      <w:r w:rsidRPr="005D382A">
        <w:rPr>
          <w:sz w:val="28"/>
          <w:szCs w:val="28"/>
        </w:rPr>
        <w:t>години</w:t>
      </w:r>
      <w:proofErr w:type="gramEnd"/>
      <w:r w:rsidRPr="005D382A">
        <w:rPr>
          <w:sz w:val="28"/>
          <w:szCs w:val="28"/>
        </w:rPr>
        <w:t xml:space="preserve"> на економској класификацији 414 (рационализација) у складу са планом рационализације. </w:t>
      </w:r>
    </w:p>
    <w:p w:rsidR="005D382A" w:rsidRPr="005D382A" w:rsidRDefault="005D382A" w:rsidP="005D382A">
      <w:pPr>
        <w:pStyle w:val="Default"/>
        <w:jc w:val="both"/>
        <w:rPr>
          <w:sz w:val="28"/>
          <w:szCs w:val="28"/>
        </w:rPr>
      </w:pPr>
      <w:proofErr w:type="gramStart"/>
      <w:r w:rsidRPr="005D382A">
        <w:rPr>
          <w:sz w:val="28"/>
          <w:szCs w:val="28"/>
        </w:rPr>
        <w:t>Табела 5.</w:t>
      </w:r>
      <w:proofErr w:type="gramEnd"/>
      <w:r w:rsidRPr="005D382A">
        <w:rPr>
          <w:sz w:val="28"/>
          <w:szCs w:val="28"/>
        </w:rPr>
        <w:t xml:space="preserve"> </w:t>
      </w:r>
      <w:proofErr w:type="gramStart"/>
      <w:r w:rsidRPr="005D382A">
        <w:rPr>
          <w:sz w:val="28"/>
          <w:szCs w:val="28"/>
        </w:rPr>
        <w:t>представља</w:t>
      </w:r>
      <w:proofErr w:type="gramEnd"/>
      <w:r w:rsidRPr="005D382A">
        <w:rPr>
          <w:sz w:val="28"/>
          <w:szCs w:val="28"/>
        </w:rPr>
        <w:t xml:space="preserve"> приказ планираних и исплаћених средстава у 2016. </w:t>
      </w:r>
      <w:proofErr w:type="gramStart"/>
      <w:r w:rsidRPr="005D382A">
        <w:rPr>
          <w:sz w:val="28"/>
          <w:szCs w:val="28"/>
        </w:rPr>
        <w:t>години</w:t>
      </w:r>
      <w:proofErr w:type="gramEnd"/>
      <w:r w:rsidRPr="005D382A">
        <w:rPr>
          <w:sz w:val="28"/>
          <w:szCs w:val="28"/>
        </w:rPr>
        <w:t xml:space="preserve"> и планираних средстава у 2017. </w:t>
      </w:r>
      <w:proofErr w:type="gramStart"/>
      <w:r w:rsidRPr="005D382A">
        <w:rPr>
          <w:sz w:val="28"/>
          <w:szCs w:val="28"/>
        </w:rPr>
        <w:t>години</w:t>
      </w:r>
      <w:proofErr w:type="gramEnd"/>
      <w:r w:rsidRPr="005D382A">
        <w:rPr>
          <w:sz w:val="28"/>
          <w:szCs w:val="28"/>
        </w:rPr>
        <w:t xml:space="preserve"> на економској класификацији 416, као и пратећи број запослених по овом основу. </w:t>
      </w:r>
      <w:proofErr w:type="gramStart"/>
      <w:r w:rsidRPr="005D382A">
        <w:rPr>
          <w:sz w:val="28"/>
          <w:szCs w:val="28"/>
        </w:rPr>
        <w:t>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w:t>
      </w:r>
      <w:proofErr w:type="gramEnd"/>
      <w:r w:rsidRPr="005D382A">
        <w:rPr>
          <w:sz w:val="28"/>
          <w:szCs w:val="28"/>
        </w:rPr>
        <w:t xml:space="preserve"> </w:t>
      </w:r>
    </w:p>
    <w:p w:rsidR="00773241" w:rsidRDefault="005D382A" w:rsidP="005D382A">
      <w:pPr>
        <w:pStyle w:val="Default"/>
        <w:jc w:val="both"/>
        <w:rPr>
          <w:sz w:val="28"/>
          <w:szCs w:val="28"/>
          <w:lang w:val="sr-Cyrl-CS"/>
        </w:rPr>
      </w:pPr>
      <w:proofErr w:type="gramStart"/>
      <w:r w:rsidRPr="005D382A">
        <w:rPr>
          <w:sz w:val="28"/>
          <w:szCs w:val="28"/>
        </w:rPr>
        <w:t>Табела 6.</w:t>
      </w:r>
      <w:proofErr w:type="gramEnd"/>
      <w:r w:rsidRPr="005D382A">
        <w:rPr>
          <w:sz w:val="28"/>
          <w:szCs w:val="28"/>
        </w:rPr>
        <w:t xml:space="preserve"> </w:t>
      </w:r>
      <w:proofErr w:type="gramStart"/>
      <w:r w:rsidRPr="005D382A">
        <w:rPr>
          <w:sz w:val="28"/>
          <w:szCs w:val="28"/>
        </w:rPr>
        <w:t>односи</w:t>
      </w:r>
      <w:proofErr w:type="gramEnd"/>
      <w:r w:rsidRPr="005D382A">
        <w:rPr>
          <w:sz w:val="28"/>
          <w:szCs w:val="28"/>
        </w:rPr>
        <w:t xml:space="preserve"> се на преглед броја запослених и средства за плате у 2017. </w:t>
      </w:r>
      <w:proofErr w:type="gramStart"/>
      <w:r w:rsidRPr="005D382A">
        <w:rPr>
          <w:sz w:val="28"/>
          <w:szCs w:val="28"/>
        </w:rPr>
        <w:t>години</w:t>
      </w:r>
      <w:proofErr w:type="gramEnd"/>
      <w:r w:rsidRPr="005D382A">
        <w:rPr>
          <w:sz w:val="28"/>
          <w:szCs w:val="28"/>
        </w:rPr>
        <w:t xml:space="preserve"> по звањима и занимањима, а у којој је потребно унети коефицијенте, додатке за минули рад, додатке за прековремни рад и приправност и број запослених </w:t>
      </w:r>
    </w:p>
    <w:p w:rsidR="005D382A" w:rsidRPr="005D382A" w:rsidRDefault="005D382A" w:rsidP="005D382A">
      <w:pPr>
        <w:pStyle w:val="Default"/>
        <w:jc w:val="both"/>
        <w:rPr>
          <w:sz w:val="28"/>
          <w:szCs w:val="28"/>
        </w:rPr>
      </w:pPr>
      <w:proofErr w:type="gramStart"/>
      <w:r w:rsidRPr="005D382A">
        <w:rPr>
          <w:sz w:val="28"/>
          <w:szCs w:val="28"/>
        </w:rPr>
        <w:t>Табела 7.</w:t>
      </w:r>
      <w:proofErr w:type="gramEnd"/>
      <w:r w:rsidRPr="005D382A">
        <w:rPr>
          <w:sz w:val="28"/>
          <w:szCs w:val="28"/>
        </w:rPr>
        <w:t xml:space="preserve"> </w:t>
      </w:r>
      <w:proofErr w:type="gramStart"/>
      <w:r w:rsidRPr="005D382A">
        <w:rPr>
          <w:sz w:val="28"/>
          <w:szCs w:val="28"/>
        </w:rPr>
        <w:t>односи</w:t>
      </w:r>
      <w:proofErr w:type="gramEnd"/>
      <w:r w:rsidRPr="005D382A">
        <w:rPr>
          <w:sz w:val="28"/>
          <w:szCs w:val="28"/>
        </w:rPr>
        <w:t xml:space="preserve"> се на преглед броја запослених на неодређено и одређено време који је радио у октобру 2016. </w:t>
      </w:r>
      <w:proofErr w:type="gramStart"/>
      <w:r w:rsidRPr="005D382A">
        <w:rPr>
          <w:sz w:val="28"/>
          <w:szCs w:val="28"/>
        </w:rPr>
        <w:t>године</w:t>
      </w:r>
      <w:proofErr w:type="gramEnd"/>
      <w:r w:rsidRPr="005D382A">
        <w:rPr>
          <w:sz w:val="28"/>
          <w:szCs w:val="28"/>
        </w:rPr>
        <w:t xml:space="preserve">, затим планирани број запослених који одлази у пензију до краја 2017. </w:t>
      </w:r>
      <w:proofErr w:type="gramStart"/>
      <w:r w:rsidRPr="005D382A">
        <w:rPr>
          <w:sz w:val="28"/>
          <w:szCs w:val="28"/>
        </w:rPr>
        <w:t>године</w:t>
      </w:r>
      <w:proofErr w:type="gramEnd"/>
      <w:r w:rsidRPr="005D382A">
        <w:rPr>
          <w:sz w:val="28"/>
          <w:szCs w:val="28"/>
        </w:rPr>
        <w:t xml:space="preserve">, као и планирано повећање броја запослених на неодређено и одређено време у 2017. </w:t>
      </w:r>
      <w:proofErr w:type="gramStart"/>
      <w:r w:rsidRPr="005D382A">
        <w:rPr>
          <w:sz w:val="28"/>
          <w:szCs w:val="28"/>
        </w:rPr>
        <w:t>години</w:t>
      </w:r>
      <w:proofErr w:type="gramEnd"/>
      <w:r w:rsidRPr="005D382A">
        <w:rPr>
          <w:sz w:val="28"/>
          <w:szCs w:val="28"/>
        </w:rPr>
        <w:t xml:space="preserve"> за које су обезбеђена средства у буџету за 2017. </w:t>
      </w:r>
      <w:proofErr w:type="gramStart"/>
      <w:r w:rsidRPr="005D382A">
        <w:rPr>
          <w:sz w:val="28"/>
          <w:szCs w:val="28"/>
        </w:rPr>
        <w:t>годину</w:t>
      </w:r>
      <w:proofErr w:type="gramEnd"/>
      <w:r w:rsidRPr="005D382A">
        <w:rPr>
          <w:sz w:val="28"/>
          <w:szCs w:val="28"/>
        </w:rPr>
        <w:t xml:space="preserve">. </w:t>
      </w:r>
    </w:p>
    <w:p w:rsidR="005D382A" w:rsidRDefault="005D382A" w:rsidP="005D382A">
      <w:pPr>
        <w:spacing w:line="240" w:lineRule="auto"/>
        <w:rPr>
          <w:sz w:val="28"/>
          <w:szCs w:val="28"/>
          <w:lang w:val="sr-Cyrl-CS"/>
        </w:rPr>
      </w:pPr>
      <w:proofErr w:type="gramStart"/>
      <w:r w:rsidRPr="005D382A">
        <w:rPr>
          <w:sz w:val="28"/>
          <w:szCs w:val="28"/>
        </w:rPr>
        <w:t>Табела 8.</w:t>
      </w:r>
      <w:proofErr w:type="gramEnd"/>
      <w:r w:rsidRPr="005D382A">
        <w:rPr>
          <w:sz w:val="28"/>
          <w:szCs w:val="28"/>
        </w:rPr>
        <w:t xml:space="preserve"> </w:t>
      </w:r>
      <w:proofErr w:type="gramStart"/>
      <w:r w:rsidRPr="005D382A">
        <w:rPr>
          <w:sz w:val="28"/>
          <w:szCs w:val="28"/>
        </w:rPr>
        <w:t>односи</w:t>
      </w:r>
      <w:proofErr w:type="gramEnd"/>
      <w:r w:rsidRPr="005D382A">
        <w:rPr>
          <w:sz w:val="28"/>
          <w:szCs w:val="28"/>
        </w:rPr>
        <w:t xml:space="preserve"> се на преглед исплаћених средстава на економским класификацијама 413-416 у 2015. </w:t>
      </w:r>
      <w:proofErr w:type="gramStart"/>
      <w:r w:rsidRPr="005D382A">
        <w:rPr>
          <w:sz w:val="28"/>
          <w:szCs w:val="28"/>
        </w:rPr>
        <w:t>и</w:t>
      </w:r>
      <w:proofErr w:type="gramEnd"/>
      <w:r w:rsidRPr="005D382A">
        <w:rPr>
          <w:sz w:val="28"/>
          <w:szCs w:val="28"/>
        </w:rPr>
        <w:t xml:space="preserve"> 2016. </w:t>
      </w:r>
      <w:proofErr w:type="gramStart"/>
      <w:r w:rsidRPr="005D382A">
        <w:rPr>
          <w:sz w:val="28"/>
          <w:szCs w:val="28"/>
        </w:rPr>
        <w:t>години</w:t>
      </w:r>
      <w:proofErr w:type="gramEnd"/>
      <w:r w:rsidRPr="005D382A">
        <w:rPr>
          <w:sz w:val="28"/>
          <w:szCs w:val="28"/>
        </w:rPr>
        <w:t xml:space="preserve">, као и планираним средствима на економским класификацијама 413-416 у 2017. </w:t>
      </w:r>
      <w:proofErr w:type="gramStart"/>
      <w:r w:rsidRPr="005D382A">
        <w:rPr>
          <w:sz w:val="28"/>
          <w:szCs w:val="28"/>
        </w:rPr>
        <w:t>години</w:t>
      </w:r>
      <w:proofErr w:type="gramEnd"/>
      <w:r w:rsidRPr="005D382A">
        <w:rPr>
          <w:sz w:val="28"/>
          <w:szCs w:val="28"/>
        </w:rPr>
        <w:t>.</w:t>
      </w:r>
    </w:p>
    <w:p w:rsidR="00773241" w:rsidRDefault="00773241" w:rsidP="005D382A">
      <w:pPr>
        <w:spacing w:line="240" w:lineRule="auto"/>
        <w:rPr>
          <w:sz w:val="28"/>
          <w:szCs w:val="28"/>
          <w:lang w:val="sr-Cyrl-CS"/>
        </w:rPr>
      </w:pPr>
    </w:p>
    <w:p w:rsidR="00773241" w:rsidRPr="00773241" w:rsidRDefault="00773241" w:rsidP="00773241">
      <w:pPr>
        <w:pStyle w:val="Default"/>
        <w:jc w:val="center"/>
        <w:rPr>
          <w:sz w:val="28"/>
          <w:szCs w:val="28"/>
        </w:rPr>
      </w:pPr>
      <w:r w:rsidRPr="00773241">
        <w:rPr>
          <w:b/>
          <w:bCs/>
          <w:sz w:val="28"/>
          <w:szCs w:val="28"/>
        </w:rPr>
        <w:t>Група конта 42 – Коришћење услуга и роба</w:t>
      </w:r>
    </w:p>
    <w:p w:rsidR="00773241" w:rsidRPr="00773241" w:rsidRDefault="00773241" w:rsidP="000E613A">
      <w:pPr>
        <w:pStyle w:val="Default"/>
        <w:ind w:firstLine="720"/>
        <w:jc w:val="both"/>
        <w:rPr>
          <w:sz w:val="28"/>
          <w:szCs w:val="28"/>
        </w:rPr>
      </w:pPr>
      <w:proofErr w:type="gramStart"/>
      <w:r w:rsidRPr="00773241">
        <w:rPr>
          <w:sz w:val="28"/>
          <w:szCs w:val="28"/>
        </w:rPr>
        <w:lastRenderedPageBreak/>
        <w:t>У оквиру групе конта која се односе на куповину роба и услуга, потребно је реално планирати средства за ове намене у 2017.</w:t>
      </w:r>
      <w:proofErr w:type="gramEnd"/>
      <w:r w:rsidRPr="00773241">
        <w:rPr>
          <w:sz w:val="28"/>
          <w:szCs w:val="28"/>
        </w:rPr>
        <w:t xml:space="preserve"> </w:t>
      </w:r>
      <w:proofErr w:type="gramStart"/>
      <w:r w:rsidRPr="00773241">
        <w:rPr>
          <w:sz w:val="28"/>
          <w:szCs w:val="28"/>
        </w:rPr>
        <w:t>години</w:t>
      </w:r>
      <w:proofErr w:type="gramEnd"/>
      <w:r w:rsidRPr="00773241">
        <w:rPr>
          <w:sz w:val="28"/>
          <w:szCs w:val="28"/>
        </w:rPr>
        <w:t xml:space="preserve">, а нарочито за извршавање расхода на име сталних трошкова (421 – Стални трошкови). </w:t>
      </w:r>
    </w:p>
    <w:p w:rsidR="00773241" w:rsidRPr="00773241" w:rsidRDefault="00773241" w:rsidP="000E613A">
      <w:pPr>
        <w:pStyle w:val="Default"/>
        <w:ind w:firstLine="720"/>
        <w:jc w:val="both"/>
        <w:rPr>
          <w:sz w:val="28"/>
          <w:szCs w:val="28"/>
        </w:rPr>
      </w:pPr>
      <w:proofErr w:type="gramStart"/>
      <w:r w:rsidRPr="00773241">
        <w:rPr>
          <w:sz w:val="28"/>
          <w:szCs w:val="28"/>
        </w:rPr>
        <w:t>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w:t>
      </w:r>
      <w:proofErr w:type="gramEnd"/>
      <w:r w:rsidRPr="00773241">
        <w:rPr>
          <w:sz w:val="28"/>
          <w:szCs w:val="28"/>
        </w:rPr>
        <w:t xml:space="preserve"> </w:t>
      </w:r>
    </w:p>
    <w:p w:rsidR="00773241" w:rsidRDefault="00773241" w:rsidP="000E613A">
      <w:pPr>
        <w:pStyle w:val="Default"/>
        <w:ind w:firstLine="567"/>
        <w:jc w:val="both"/>
        <w:rPr>
          <w:sz w:val="28"/>
          <w:szCs w:val="28"/>
          <w:lang w:val="sr-Cyrl-CS"/>
        </w:rPr>
      </w:pPr>
      <w:proofErr w:type="gramStart"/>
      <w:r w:rsidRPr="00773241">
        <w:rPr>
          <w:sz w:val="28"/>
          <w:szCs w:val="28"/>
        </w:rPr>
        <w:t>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великих потреба фискалног прилагођавања.</w:t>
      </w:r>
      <w:proofErr w:type="gramEnd"/>
      <w:r w:rsidRPr="00773241">
        <w:rPr>
          <w:sz w:val="28"/>
          <w:szCs w:val="28"/>
        </w:rPr>
        <w:t xml:space="preserve"> </w:t>
      </w:r>
    </w:p>
    <w:p w:rsidR="0079224C" w:rsidRDefault="0079224C" w:rsidP="000E613A">
      <w:pPr>
        <w:pStyle w:val="Default"/>
        <w:ind w:firstLine="567"/>
        <w:jc w:val="both"/>
        <w:rPr>
          <w:sz w:val="28"/>
          <w:szCs w:val="28"/>
          <w:lang w:val="sr-Cyrl-CS"/>
        </w:rPr>
      </w:pPr>
    </w:p>
    <w:p w:rsidR="0079224C" w:rsidRPr="0079224C" w:rsidRDefault="0079224C" w:rsidP="00D15F2C">
      <w:pPr>
        <w:pStyle w:val="Default"/>
        <w:jc w:val="center"/>
        <w:rPr>
          <w:sz w:val="28"/>
          <w:szCs w:val="28"/>
        </w:rPr>
      </w:pPr>
      <w:r w:rsidRPr="0079224C">
        <w:rPr>
          <w:b/>
          <w:bCs/>
          <w:sz w:val="28"/>
          <w:szCs w:val="28"/>
        </w:rPr>
        <w:t>Група конта 45 - Субвенције</w:t>
      </w:r>
    </w:p>
    <w:p w:rsidR="000E613A" w:rsidRDefault="000E613A" w:rsidP="000E613A">
      <w:pPr>
        <w:pStyle w:val="Default"/>
        <w:ind w:firstLine="567"/>
        <w:jc w:val="both"/>
        <w:rPr>
          <w:sz w:val="28"/>
          <w:szCs w:val="28"/>
          <w:lang w:val="sr-Cyrl-CS"/>
        </w:rPr>
      </w:pPr>
    </w:p>
    <w:p w:rsidR="00CB115F" w:rsidRDefault="0079224C" w:rsidP="000E613A">
      <w:pPr>
        <w:pStyle w:val="Default"/>
        <w:ind w:firstLine="567"/>
        <w:jc w:val="both"/>
        <w:rPr>
          <w:sz w:val="28"/>
          <w:szCs w:val="28"/>
          <w:lang w:val="sr-Cyrl-CS"/>
        </w:rPr>
      </w:pPr>
      <w:r w:rsidRPr="0079224C">
        <w:rPr>
          <w:sz w:val="28"/>
          <w:szCs w:val="28"/>
        </w:rPr>
        <w:t>У оквиру субвенција неопходно је преиспитати све програме по основу којих се додељују субвенције, с обзиром на то да даље мере фискалне консолидације подразумевају рационално коришћење средстава субвенција</w:t>
      </w:r>
    </w:p>
    <w:p w:rsidR="00CB115F" w:rsidRDefault="00CB115F" w:rsidP="000E613A">
      <w:pPr>
        <w:pStyle w:val="Default"/>
        <w:ind w:firstLine="567"/>
        <w:jc w:val="both"/>
        <w:rPr>
          <w:sz w:val="28"/>
          <w:szCs w:val="28"/>
          <w:lang w:val="sr-Cyrl-CS"/>
        </w:rPr>
      </w:pPr>
    </w:p>
    <w:p w:rsidR="00CB115F" w:rsidRDefault="0079224C" w:rsidP="00CB115F">
      <w:pPr>
        <w:pStyle w:val="Default"/>
        <w:jc w:val="center"/>
        <w:rPr>
          <w:b/>
          <w:bCs/>
          <w:sz w:val="28"/>
          <w:szCs w:val="28"/>
          <w:lang w:val="sr-Cyrl-CS"/>
        </w:rPr>
      </w:pPr>
      <w:r w:rsidRPr="00CB115F">
        <w:rPr>
          <w:sz w:val="28"/>
          <w:szCs w:val="28"/>
        </w:rPr>
        <w:t>.</w:t>
      </w:r>
      <w:r w:rsidR="00CB115F" w:rsidRPr="00CB115F">
        <w:rPr>
          <w:b/>
          <w:bCs/>
          <w:sz w:val="28"/>
          <w:szCs w:val="28"/>
        </w:rPr>
        <w:t xml:space="preserve"> Група конта 48 – Остали расходи</w:t>
      </w:r>
    </w:p>
    <w:p w:rsidR="007F5B06" w:rsidRPr="007F5B06" w:rsidRDefault="007F5B06" w:rsidP="00CB115F">
      <w:pPr>
        <w:pStyle w:val="Default"/>
        <w:jc w:val="center"/>
        <w:rPr>
          <w:sz w:val="28"/>
          <w:szCs w:val="28"/>
          <w:lang w:val="sr-Cyrl-CS"/>
        </w:rPr>
      </w:pPr>
    </w:p>
    <w:p w:rsidR="0079224C" w:rsidRDefault="00CB115F" w:rsidP="00CB115F">
      <w:pPr>
        <w:pStyle w:val="Default"/>
        <w:ind w:firstLine="567"/>
        <w:jc w:val="both"/>
        <w:rPr>
          <w:sz w:val="28"/>
          <w:szCs w:val="28"/>
          <w:lang w:val="sr-Cyrl-CS"/>
        </w:rPr>
      </w:pPr>
      <w:proofErr w:type="gramStart"/>
      <w:r w:rsidRPr="00CB115F">
        <w:rPr>
          <w:sz w:val="28"/>
          <w:szCs w:val="28"/>
        </w:rPr>
        <w:t>Остале расходе, такође треба планирати у складу са рестриктивном политиком која се спроводи у циљу одрживог нивоа дефицита.</w:t>
      </w:r>
      <w:proofErr w:type="gramEnd"/>
      <w:r w:rsidRPr="00CB115F">
        <w:rPr>
          <w:sz w:val="28"/>
          <w:szCs w:val="28"/>
        </w:rPr>
        <w:t xml:space="preserve">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w:t>
      </w:r>
    </w:p>
    <w:p w:rsidR="007F5B06" w:rsidRDefault="007F5B06" w:rsidP="00CB115F">
      <w:pPr>
        <w:pStyle w:val="Default"/>
        <w:ind w:firstLine="567"/>
        <w:jc w:val="both"/>
        <w:rPr>
          <w:sz w:val="28"/>
          <w:szCs w:val="28"/>
          <w:lang w:val="sr-Cyrl-CS"/>
        </w:rPr>
      </w:pPr>
    </w:p>
    <w:p w:rsidR="007F5B06" w:rsidRDefault="007F5B06" w:rsidP="007F5B06">
      <w:pPr>
        <w:pStyle w:val="Default"/>
      </w:pPr>
    </w:p>
    <w:p w:rsidR="007F5B06" w:rsidRPr="00BF57C6" w:rsidRDefault="007F5B06" w:rsidP="00BF57C6">
      <w:pPr>
        <w:pStyle w:val="Default"/>
        <w:jc w:val="center"/>
        <w:rPr>
          <w:sz w:val="28"/>
          <w:szCs w:val="28"/>
        </w:rPr>
      </w:pPr>
      <w:r w:rsidRPr="00BF57C6">
        <w:rPr>
          <w:b/>
          <w:bCs/>
          <w:sz w:val="28"/>
          <w:szCs w:val="28"/>
        </w:rPr>
        <w:t>6. Смернице за исказивање издатака за капиталне пројекте за 2017 - 2019.</w:t>
      </w:r>
    </w:p>
    <w:p w:rsidR="007F5B06" w:rsidRDefault="007F5B06" w:rsidP="00BF57C6">
      <w:pPr>
        <w:pStyle w:val="Default"/>
        <w:jc w:val="center"/>
        <w:rPr>
          <w:b/>
          <w:bCs/>
          <w:sz w:val="28"/>
          <w:szCs w:val="28"/>
          <w:lang w:val="sr-Cyrl-CS"/>
        </w:rPr>
      </w:pPr>
      <w:r w:rsidRPr="00BF57C6">
        <w:rPr>
          <w:b/>
          <w:bCs/>
          <w:sz w:val="28"/>
          <w:szCs w:val="28"/>
        </w:rPr>
        <w:t>Класа 5 - Издаци за нефинансијску имовину</w:t>
      </w:r>
    </w:p>
    <w:p w:rsidR="00BF57C6" w:rsidRPr="00BF57C6" w:rsidRDefault="00BF57C6" w:rsidP="00BF57C6">
      <w:pPr>
        <w:pStyle w:val="Default"/>
        <w:jc w:val="center"/>
        <w:rPr>
          <w:sz w:val="28"/>
          <w:szCs w:val="28"/>
          <w:lang w:val="sr-Cyrl-CS"/>
        </w:rPr>
      </w:pPr>
    </w:p>
    <w:p w:rsidR="007F5B06" w:rsidRPr="00BF57C6" w:rsidRDefault="007F5B06" w:rsidP="00BF57C6">
      <w:pPr>
        <w:pStyle w:val="Default"/>
        <w:jc w:val="both"/>
        <w:rPr>
          <w:sz w:val="28"/>
          <w:szCs w:val="28"/>
        </w:rPr>
      </w:pPr>
      <w:proofErr w:type="gramStart"/>
      <w:r w:rsidRPr="00BF57C6">
        <w:rPr>
          <w:sz w:val="28"/>
          <w:szCs w:val="28"/>
        </w:rPr>
        <w:t>Набавке административне, канцеларијске опреме, аутомобила и осталих основних средстава за редован рад потребно је планирати уз максималне уштеде, тако да се само врше набавке средстава неопходних за рад.</w:t>
      </w:r>
      <w:proofErr w:type="gramEnd"/>
      <w:r w:rsidRPr="00BF57C6">
        <w:rPr>
          <w:sz w:val="28"/>
          <w:szCs w:val="28"/>
        </w:rPr>
        <w:t xml:space="preserve"> </w:t>
      </w:r>
    </w:p>
    <w:p w:rsidR="007F5B06" w:rsidRPr="00BF57C6" w:rsidRDefault="007F5B06" w:rsidP="00BF57C6">
      <w:pPr>
        <w:pStyle w:val="Default"/>
        <w:jc w:val="both"/>
        <w:rPr>
          <w:sz w:val="28"/>
          <w:szCs w:val="28"/>
        </w:rPr>
      </w:pPr>
      <w:r w:rsidRPr="00BF57C6">
        <w:rPr>
          <w:sz w:val="28"/>
          <w:szCs w:val="28"/>
        </w:rPr>
        <w:t xml:space="preserve">Важно је да корисници не исказују као капиталне издатке текуће поправке и одржавање зграда, објеката и опреме, већ да расходе за те намене (за молерске, зидарске радове, поправке електронске и електричне опреме итд.) планирају на апропријацији економске класификације 425 – Текуће поправке и одржавање, док средства за капиталне пројекте треба да планирају на контима групе 51, 52 и 54. </w:t>
      </w:r>
    </w:p>
    <w:p w:rsidR="007F5B06" w:rsidRPr="00BF57C6" w:rsidRDefault="007F5B06" w:rsidP="00811203">
      <w:pPr>
        <w:pStyle w:val="Default"/>
        <w:jc w:val="center"/>
        <w:rPr>
          <w:sz w:val="28"/>
          <w:szCs w:val="28"/>
        </w:rPr>
      </w:pPr>
      <w:r w:rsidRPr="00BF57C6">
        <w:rPr>
          <w:b/>
          <w:bCs/>
          <w:sz w:val="28"/>
          <w:szCs w:val="28"/>
        </w:rPr>
        <w:lastRenderedPageBreak/>
        <w:t>Капитални пројекти и њихов значај</w:t>
      </w:r>
    </w:p>
    <w:p w:rsidR="007F5B06" w:rsidRPr="00BF57C6" w:rsidRDefault="007F5B06" w:rsidP="00FD28DC">
      <w:pPr>
        <w:pStyle w:val="Default"/>
        <w:ind w:firstLine="567"/>
        <w:jc w:val="both"/>
        <w:rPr>
          <w:sz w:val="28"/>
          <w:szCs w:val="28"/>
        </w:rPr>
      </w:pPr>
      <w:r w:rsidRPr="00BF57C6">
        <w:rPr>
          <w:sz w:val="28"/>
          <w:szCs w:val="28"/>
        </w:rPr>
        <w:t xml:space="preserve">Капитални пројекти су пројекти изградње и капиталног одржавања зграда и грађевинских објеката инфраструктуре од интереса за </w:t>
      </w:r>
      <w:r w:rsidR="005522E4">
        <w:rPr>
          <w:sz w:val="28"/>
          <w:szCs w:val="28"/>
          <w:lang w:val="sr-Cyrl-CS"/>
        </w:rPr>
        <w:t>Општину Владичин Хан</w:t>
      </w:r>
      <w:r w:rsidRPr="00BF57C6">
        <w:rPr>
          <w:sz w:val="28"/>
          <w:szCs w:val="28"/>
        </w:rPr>
        <w:t xml:space="preserve">, укључујући услуге пројектног планирања које су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w:t>
      </w:r>
    </w:p>
    <w:p w:rsidR="007F5B06" w:rsidRDefault="007F5B06" w:rsidP="00FD28DC">
      <w:pPr>
        <w:pStyle w:val="Default"/>
        <w:ind w:firstLine="567"/>
        <w:jc w:val="both"/>
        <w:rPr>
          <w:sz w:val="28"/>
          <w:szCs w:val="28"/>
          <w:lang w:val="sr-Cyrl-CS"/>
        </w:rPr>
      </w:pPr>
      <w:proofErr w:type="gramStart"/>
      <w:r w:rsidRPr="00BF57C6">
        <w:rPr>
          <w:sz w:val="28"/>
          <w:szCs w:val="28"/>
        </w:rPr>
        <w:t>Капиталним пројектима се увећава имовина</w:t>
      </w:r>
      <w:r w:rsidR="00FD28DC">
        <w:rPr>
          <w:sz w:val="28"/>
          <w:szCs w:val="28"/>
          <w:lang w:val="sr-Cyrl-CS"/>
        </w:rPr>
        <w:t xml:space="preserve"> </w:t>
      </w:r>
      <w:r w:rsidR="005522E4">
        <w:rPr>
          <w:sz w:val="28"/>
          <w:szCs w:val="28"/>
          <w:lang w:val="sr-Cyrl-CS"/>
        </w:rPr>
        <w:t>Општине</w:t>
      </w:r>
      <w:r w:rsidRPr="00BF57C6">
        <w:rPr>
          <w:sz w:val="28"/>
          <w:szCs w:val="28"/>
        </w:rPr>
        <w:t xml:space="preserve"> путем изградње и капиталног одржавања грађевинских објеката инфраструктуре и улагања у опрему, машине и другу нефинансијску имовину.</w:t>
      </w:r>
      <w:proofErr w:type="gramEnd"/>
    </w:p>
    <w:p w:rsidR="00FD28DC" w:rsidRPr="00FD28DC" w:rsidRDefault="00FD28DC" w:rsidP="00FD28DC">
      <w:pPr>
        <w:pStyle w:val="Default"/>
        <w:ind w:firstLine="567"/>
        <w:jc w:val="both"/>
        <w:rPr>
          <w:sz w:val="28"/>
          <w:szCs w:val="28"/>
        </w:rPr>
      </w:pPr>
      <w:r w:rsidRPr="00FD28DC">
        <w:rPr>
          <w:sz w:val="28"/>
          <w:szCs w:val="28"/>
        </w:rPr>
        <w:t xml:space="preserve">Капиталним пројектом се поред изградње и капиталног одржавања зграда и грађевинских објеката инфраструктуре сматра и улaгaње у куповину зграда и објеката, као и другу нeфинaнсиjску имoвину чији је век трајања, односно коришћења дужи од једне године, независно од тога да ли је капитални пројекат исказан као посебан пројекат унутар програма или као издатак у оквиру одређене програмске активности у буџету. </w:t>
      </w:r>
    </w:p>
    <w:p w:rsidR="00FD28DC" w:rsidRPr="00FD28DC" w:rsidRDefault="00FD28DC" w:rsidP="00502863">
      <w:pPr>
        <w:pStyle w:val="Default"/>
        <w:ind w:firstLine="567"/>
        <w:jc w:val="both"/>
        <w:rPr>
          <w:sz w:val="28"/>
          <w:szCs w:val="28"/>
        </w:rPr>
      </w:pPr>
      <w:proofErr w:type="gramStart"/>
      <w:r w:rsidRPr="00FD28DC">
        <w:rPr>
          <w:sz w:val="28"/>
          <w:szCs w:val="28"/>
        </w:rPr>
        <w:t>Капитални пројекат садржи све неопходне активности са потребним ресурсима које се планирају и реализују током целог пројектног циклуса у складу са јасно дефинисаним циљевима и резултатима пројекта, а у циљу постизања одрживе и дугорочне употребне вредности пројекта.</w:t>
      </w:r>
      <w:proofErr w:type="gramEnd"/>
      <w:r w:rsidRPr="00FD28DC">
        <w:rPr>
          <w:sz w:val="28"/>
          <w:szCs w:val="28"/>
        </w:rPr>
        <w:t xml:space="preserve"> </w:t>
      </w:r>
    </w:p>
    <w:p w:rsidR="00FD28DC" w:rsidRPr="00FD28DC" w:rsidRDefault="00FD28DC" w:rsidP="00502863">
      <w:pPr>
        <w:pStyle w:val="Default"/>
        <w:ind w:firstLine="567"/>
        <w:jc w:val="both"/>
        <w:rPr>
          <w:sz w:val="28"/>
          <w:szCs w:val="28"/>
        </w:rPr>
      </w:pPr>
      <w:proofErr w:type="gramStart"/>
      <w:r w:rsidRPr="00FD28DC">
        <w:rPr>
          <w:sz w:val="28"/>
          <w:szCs w:val="28"/>
        </w:rPr>
        <w:t>Капитални</w:t>
      </w:r>
      <w:r w:rsidR="00502863">
        <w:rPr>
          <w:sz w:val="28"/>
          <w:szCs w:val="28"/>
          <w:lang w:val="sr-Cyrl-CS"/>
        </w:rPr>
        <w:t xml:space="preserve"> </w:t>
      </w:r>
      <w:r w:rsidRPr="00FD28DC">
        <w:rPr>
          <w:sz w:val="28"/>
          <w:szCs w:val="28"/>
        </w:rPr>
        <w:t xml:space="preserve"> пројекат</w:t>
      </w:r>
      <w:proofErr w:type="gramEnd"/>
      <w:r w:rsidRPr="00FD28DC">
        <w:rPr>
          <w:sz w:val="28"/>
          <w:szCs w:val="28"/>
        </w:rPr>
        <w:t xml:space="preserve"> мора прeдстaвљaти функциoнaлну цeлину са дугорочном (преко годину дана) употребном вредношћу по завршетку његове реализације. </w:t>
      </w:r>
    </w:p>
    <w:p w:rsidR="00FD28DC" w:rsidRDefault="00FD28DC" w:rsidP="00FD28DC">
      <w:pPr>
        <w:pStyle w:val="Default"/>
        <w:ind w:firstLine="567"/>
        <w:jc w:val="both"/>
        <w:rPr>
          <w:sz w:val="28"/>
          <w:szCs w:val="28"/>
          <w:lang w:val="sr-Cyrl-CS"/>
        </w:rPr>
      </w:pPr>
      <w:proofErr w:type="gramStart"/>
      <w:r w:rsidRPr="00FD28DC">
        <w:rPr>
          <w:sz w:val="28"/>
          <w:szCs w:val="28"/>
        </w:rPr>
        <w:t>Kапитални пројекат може бити заједнички пројекат када се спроводи од стране два или више корисника буџетских средстава, јавних предузећа, односно других корисника јавних средстава, који својим споразумом уређују међусобне односе, односно права и обавезе у вези са реализацијом капиталног пројекта.</w:t>
      </w:r>
      <w:proofErr w:type="gramEnd"/>
    </w:p>
    <w:p w:rsidR="00161801" w:rsidRDefault="00161801" w:rsidP="00FD28DC">
      <w:pPr>
        <w:pStyle w:val="Default"/>
        <w:ind w:firstLine="567"/>
        <w:jc w:val="both"/>
        <w:rPr>
          <w:sz w:val="28"/>
          <w:szCs w:val="28"/>
          <w:lang w:val="sr-Cyrl-CS"/>
        </w:rPr>
      </w:pPr>
    </w:p>
    <w:p w:rsidR="00161801" w:rsidRPr="00161801" w:rsidRDefault="00161801" w:rsidP="00161801">
      <w:pPr>
        <w:pStyle w:val="Default"/>
        <w:jc w:val="center"/>
        <w:rPr>
          <w:sz w:val="28"/>
          <w:szCs w:val="28"/>
        </w:rPr>
      </w:pPr>
      <w:r w:rsidRPr="00161801">
        <w:rPr>
          <w:b/>
          <w:bCs/>
          <w:sz w:val="28"/>
          <w:szCs w:val="28"/>
        </w:rPr>
        <w:t>Планирање издатака капиталног пројекта</w:t>
      </w:r>
    </w:p>
    <w:p w:rsidR="00161801" w:rsidRPr="00161801" w:rsidRDefault="00161801" w:rsidP="00502863">
      <w:pPr>
        <w:pStyle w:val="Default"/>
        <w:ind w:firstLine="720"/>
        <w:jc w:val="both"/>
        <w:rPr>
          <w:sz w:val="28"/>
          <w:szCs w:val="28"/>
        </w:rPr>
      </w:pPr>
      <w:proofErr w:type="gramStart"/>
      <w:r w:rsidRPr="00161801">
        <w:rPr>
          <w:sz w:val="28"/>
          <w:szCs w:val="28"/>
        </w:rPr>
        <w:t xml:space="preserve">Ради ефикаснијег планирања издатака капиталних пројеката корисници буџетских средстава дужни су да </w:t>
      </w:r>
      <w:r>
        <w:rPr>
          <w:sz w:val="28"/>
          <w:szCs w:val="28"/>
          <w:lang w:val="sr-Cyrl-CS"/>
        </w:rPr>
        <w:t xml:space="preserve">Одељењу </w:t>
      </w:r>
      <w:r w:rsidRPr="00161801">
        <w:rPr>
          <w:sz w:val="28"/>
          <w:szCs w:val="28"/>
        </w:rPr>
        <w:t xml:space="preserve">за финансије </w:t>
      </w:r>
      <w:r>
        <w:rPr>
          <w:sz w:val="28"/>
          <w:szCs w:val="28"/>
          <w:lang w:val="sr-Cyrl-CS"/>
        </w:rPr>
        <w:t xml:space="preserve">и привреду </w:t>
      </w:r>
      <w:r w:rsidRPr="00161801">
        <w:rPr>
          <w:sz w:val="28"/>
          <w:szCs w:val="28"/>
        </w:rPr>
        <w:t>доставе попуњене табеле дате у Прилогу број 2 - Преглед капиталних пројеката.</w:t>
      </w:r>
      <w:proofErr w:type="gramEnd"/>
      <w:r w:rsidRPr="00161801">
        <w:rPr>
          <w:sz w:val="28"/>
          <w:szCs w:val="28"/>
        </w:rPr>
        <w:t xml:space="preserve"> У наведеним табелама, корисници су у обавези да искажу планиране издатке за капиталне пројекте по годинама који се односе на изградњу и капитално одржавање, по контима на трећем и четвртом нивоу, и то: </w:t>
      </w:r>
    </w:p>
    <w:p w:rsidR="00161801" w:rsidRPr="00161801" w:rsidRDefault="00161801" w:rsidP="00161801">
      <w:pPr>
        <w:pStyle w:val="Default"/>
        <w:jc w:val="both"/>
        <w:rPr>
          <w:sz w:val="28"/>
          <w:szCs w:val="28"/>
        </w:rPr>
      </w:pPr>
      <w:r w:rsidRPr="00161801">
        <w:rPr>
          <w:sz w:val="28"/>
          <w:szCs w:val="28"/>
        </w:rPr>
        <w:t xml:space="preserve">1) </w:t>
      </w:r>
      <w:proofErr w:type="gramStart"/>
      <w:r w:rsidRPr="00161801">
        <w:rPr>
          <w:sz w:val="28"/>
          <w:szCs w:val="28"/>
        </w:rPr>
        <w:t>издатке</w:t>
      </w:r>
      <w:proofErr w:type="gramEnd"/>
      <w:r w:rsidRPr="00161801">
        <w:rPr>
          <w:sz w:val="28"/>
          <w:szCs w:val="28"/>
        </w:rPr>
        <w:t xml:space="preserve"> за израду пројектно-техничке документације на конту 5114 (осим уколико је иста већ израђена); </w:t>
      </w:r>
    </w:p>
    <w:p w:rsidR="00161801" w:rsidRPr="00161801" w:rsidRDefault="00161801" w:rsidP="00161801">
      <w:pPr>
        <w:pStyle w:val="Default"/>
        <w:jc w:val="both"/>
        <w:rPr>
          <w:sz w:val="28"/>
          <w:szCs w:val="28"/>
        </w:rPr>
      </w:pPr>
      <w:r w:rsidRPr="00161801">
        <w:rPr>
          <w:sz w:val="28"/>
          <w:szCs w:val="28"/>
        </w:rPr>
        <w:t xml:space="preserve">2) </w:t>
      </w:r>
      <w:proofErr w:type="gramStart"/>
      <w:r w:rsidRPr="00161801">
        <w:rPr>
          <w:sz w:val="28"/>
          <w:szCs w:val="28"/>
        </w:rPr>
        <w:t>издатке</w:t>
      </w:r>
      <w:proofErr w:type="gramEnd"/>
      <w:r w:rsidRPr="00161801">
        <w:rPr>
          <w:sz w:val="28"/>
          <w:szCs w:val="28"/>
        </w:rPr>
        <w:t xml:space="preserve"> за експропријацију земљишта на конту 5411; </w:t>
      </w:r>
    </w:p>
    <w:p w:rsidR="00161801" w:rsidRPr="00161801" w:rsidRDefault="00161801" w:rsidP="00161801">
      <w:pPr>
        <w:pStyle w:val="Default"/>
        <w:jc w:val="both"/>
        <w:rPr>
          <w:sz w:val="28"/>
          <w:szCs w:val="28"/>
        </w:rPr>
      </w:pPr>
      <w:r w:rsidRPr="00161801">
        <w:rPr>
          <w:sz w:val="28"/>
          <w:szCs w:val="28"/>
        </w:rPr>
        <w:t xml:space="preserve">3) </w:t>
      </w:r>
      <w:proofErr w:type="gramStart"/>
      <w:r w:rsidRPr="00161801">
        <w:rPr>
          <w:sz w:val="28"/>
          <w:szCs w:val="28"/>
        </w:rPr>
        <w:t>издатке</w:t>
      </w:r>
      <w:proofErr w:type="gramEnd"/>
      <w:r w:rsidRPr="00161801">
        <w:rPr>
          <w:sz w:val="28"/>
          <w:szCs w:val="28"/>
        </w:rPr>
        <w:t xml:space="preserve"> за извођење радова на изградњи, односно извођење радова на капиталном одржавању на контима 5112 и 5113; </w:t>
      </w:r>
    </w:p>
    <w:p w:rsidR="00161801" w:rsidRPr="00161801" w:rsidRDefault="00161801" w:rsidP="00161801">
      <w:pPr>
        <w:pStyle w:val="Default"/>
        <w:jc w:val="both"/>
        <w:rPr>
          <w:sz w:val="28"/>
          <w:szCs w:val="28"/>
        </w:rPr>
      </w:pPr>
      <w:r w:rsidRPr="00161801">
        <w:rPr>
          <w:sz w:val="28"/>
          <w:szCs w:val="28"/>
        </w:rPr>
        <w:t xml:space="preserve">4) </w:t>
      </w:r>
      <w:proofErr w:type="gramStart"/>
      <w:r w:rsidRPr="00161801">
        <w:rPr>
          <w:sz w:val="28"/>
          <w:szCs w:val="28"/>
        </w:rPr>
        <w:t>издатке</w:t>
      </w:r>
      <w:proofErr w:type="gramEnd"/>
      <w:r w:rsidRPr="00161801">
        <w:rPr>
          <w:sz w:val="28"/>
          <w:szCs w:val="28"/>
        </w:rPr>
        <w:t xml:space="preserve"> за ангажовање стручног надзора на конту 5114 (осим уколико исти нису планирани од стране инвеститора или на неки други начин). </w:t>
      </w:r>
    </w:p>
    <w:p w:rsidR="00161801" w:rsidRDefault="00161801" w:rsidP="00161801">
      <w:pPr>
        <w:pStyle w:val="Default"/>
        <w:ind w:firstLine="567"/>
        <w:jc w:val="both"/>
        <w:rPr>
          <w:sz w:val="28"/>
          <w:szCs w:val="28"/>
          <w:lang w:val="sr-Cyrl-CS"/>
        </w:rPr>
      </w:pPr>
      <w:proofErr w:type="gramStart"/>
      <w:r w:rsidRPr="00161801">
        <w:rPr>
          <w:sz w:val="28"/>
          <w:szCs w:val="28"/>
        </w:rPr>
        <w:lastRenderedPageBreak/>
        <w:t>Корисници су у обавези да, поред издатака за вишегодишње капиталне пројекте, у Прилогу број 2, искажу и капиталне издатке за све једногодишње пројекте односно за пројекте чија реализација траје годину дана.</w:t>
      </w:r>
      <w:proofErr w:type="gramEnd"/>
    </w:p>
    <w:p w:rsidR="00AD22BF" w:rsidRPr="0070292F" w:rsidRDefault="00AD22BF" w:rsidP="00CF3723">
      <w:pPr>
        <w:pStyle w:val="Default"/>
        <w:ind w:firstLine="567"/>
        <w:jc w:val="both"/>
        <w:rPr>
          <w:sz w:val="28"/>
          <w:szCs w:val="28"/>
        </w:rPr>
      </w:pPr>
      <w:r w:rsidRPr="0070292F">
        <w:rPr>
          <w:sz w:val="28"/>
          <w:szCs w:val="28"/>
        </w:rPr>
        <w:t xml:space="preserve">У циљу унапређења планирања капиталних пројеката веома је значајна благовремена припрема пројеката која подразумева да пројекат пролази кроз фазе </w:t>
      </w:r>
      <w:proofErr w:type="gramStart"/>
      <w:r w:rsidRPr="0070292F">
        <w:rPr>
          <w:sz w:val="28"/>
          <w:szCs w:val="28"/>
        </w:rPr>
        <w:t xml:space="preserve">предлагања </w:t>
      </w:r>
      <w:r w:rsidRPr="0070292F">
        <w:rPr>
          <w:rFonts w:ascii="Calibri" w:hAnsi="Calibri" w:cs="Calibri"/>
          <w:sz w:val="28"/>
          <w:szCs w:val="28"/>
        </w:rPr>
        <w:t xml:space="preserve"> </w:t>
      </w:r>
      <w:r w:rsidRPr="0070292F">
        <w:rPr>
          <w:color w:val="auto"/>
          <w:sz w:val="28"/>
          <w:szCs w:val="28"/>
        </w:rPr>
        <w:t>пројектне</w:t>
      </w:r>
      <w:proofErr w:type="gramEnd"/>
      <w:r w:rsidRPr="0070292F">
        <w:rPr>
          <w:color w:val="auto"/>
          <w:sz w:val="28"/>
          <w:szCs w:val="28"/>
        </w:rPr>
        <w:t xml:space="preserve"> идеје, прединвестиционе фазе, фазе укључивања у буџет и инвестиционе фазе. За финансирање прединвестиционе фазе пројектног циклуса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директни корисници буџетских средстава планирају средства за израду инвестиционе документације за капиталне пројекте из своје надлежности у оквиру одређене програмске активности, односно у оквиру одређене позиције у финансијском плану у максималном износу 5% од укупно планираних</w:t>
      </w:r>
      <w:r w:rsidRPr="0070292F">
        <w:rPr>
          <w:sz w:val="28"/>
          <w:szCs w:val="28"/>
        </w:rPr>
        <w:t xml:space="preserve"> средстава за капиталне инвестицијe, у циљу припреме нових капиталних пројекта. </w:t>
      </w:r>
    </w:p>
    <w:p w:rsidR="00AD22BF" w:rsidRDefault="00AD22BF" w:rsidP="00CF3723">
      <w:pPr>
        <w:pStyle w:val="Default"/>
        <w:ind w:firstLine="567"/>
        <w:jc w:val="both"/>
        <w:rPr>
          <w:sz w:val="28"/>
          <w:szCs w:val="28"/>
          <w:lang w:val="sr-Cyrl-CS"/>
        </w:rPr>
      </w:pPr>
      <w:r w:rsidRPr="0070292F">
        <w:rPr>
          <w:sz w:val="28"/>
          <w:szCs w:val="28"/>
        </w:rPr>
        <w:t>Уколико корисници који нису планирали средства за израду пројектно-техничке документације и за ангажовање стручног надзора, дужни су да наведу који субјект (институција, организација, јавно предузеће итд.) је обезбедио средства за те издатке и у ком износу или ће тај посао корисници обављати у оквиру свог редовног пословања</w:t>
      </w:r>
      <w:r w:rsidR="00CF3723">
        <w:rPr>
          <w:sz w:val="28"/>
          <w:szCs w:val="28"/>
          <w:lang w:val="sr-Cyrl-CS"/>
        </w:rPr>
        <w:t>.</w:t>
      </w:r>
    </w:p>
    <w:p w:rsidR="00502863" w:rsidRDefault="00502863" w:rsidP="00CF3723">
      <w:pPr>
        <w:pStyle w:val="Default"/>
        <w:ind w:firstLine="567"/>
        <w:jc w:val="both"/>
        <w:rPr>
          <w:sz w:val="28"/>
          <w:szCs w:val="28"/>
          <w:lang w:val="sr-Cyrl-CS"/>
        </w:rPr>
      </w:pPr>
    </w:p>
    <w:p w:rsidR="00502863" w:rsidRDefault="00502863" w:rsidP="00502863">
      <w:pPr>
        <w:pStyle w:val="Default"/>
        <w:ind w:firstLine="567"/>
        <w:jc w:val="center"/>
        <w:rPr>
          <w:b/>
          <w:i/>
          <w:sz w:val="28"/>
          <w:szCs w:val="28"/>
          <w:lang w:val="sr-Cyrl-CS"/>
        </w:rPr>
      </w:pPr>
      <w:r>
        <w:rPr>
          <w:b/>
          <w:i/>
          <w:sz w:val="28"/>
          <w:szCs w:val="28"/>
          <w:lang w:val="sr-Cyrl-CS"/>
        </w:rPr>
        <w:t>Завршне одредбе</w:t>
      </w:r>
    </w:p>
    <w:p w:rsidR="00502863" w:rsidRDefault="00502863" w:rsidP="00502863">
      <w:pPr>
        <w:pStyle w:val="Default"/>
        <w:ind w:firstLine="567"/>
        <w:rPr>
          <w:sz w:val="28"/>
          <w:szCs w:val="28"/>
          <w:lang w:val="sr-Cyrl-CS"/>
        </w:rPr>
      </w:pPr>
    </w:p>
    <w:p w:rsidR="006C7B9C" w:rsidRDefault="00BE4D76" w:rsidP="009C665A">
      <w:pPr>
        <w:pStyle w:val="Default"/>
        <w:ind w:firstLine="567"/>
        <w:jc w:val="both"/>
        <w:rPr>
          <w:sz w:val="28"/>
          <w:szCs w:val="28"/>
          <w:lang w:val="sr-Cyrl-CS"/>
        </w:rPr>
      </w:pPr>
      <w:r>
        <w:rPr>
          <w:sz w:val="28"/>
          <w:szCs w:val="28"/>
          <w:lang w:val="sr-Cyrl-CS"/>
        </w:rPr>
        <w:t xml:space="preserve">Табеле и други обавезни прилози финансијским плановима буџетских корисника који су претрпели корекције у процесу усклађивања са најновијим Упутством Министарства финансија повучени су са сајта Општине и замењени иновираним </w:t>
      </w:r>
      <w:r w:rsidR="006C7B9C">
        <w:rPr>
          <w:sz w:val="28"/>
          <w:szCs w:val="28"/>
          <w:lang w:val="sr-Cyrl-CS"/>
        </w:rPr>
        <w:t>те се корисници упућују на њихову обавезну употребу.</w:t>
      </w:r>
    </w:p>
    <w:p w:rsidR="000F7178" w:rsidRDefault="000F7178" w:rsidP="000F7178">
      <w:pPr>
        <w:pStyle w:val="Default"/>
        <w:ind w:firstLine="567"/>
        <w:jc w:val="both"/>
        <w:rPr>
          <w:sz w:val="28"/>
          <w:szCs w:val="28"/>
          <w:lang w:val="sr-Cyrl-CS"/>
        </w:rPr>
      </w:pPr>
      <w:r>
        <w:rPr>
          <w:sz w:val="28"/>
          <w:szCs w:val="28"/>
          <w:lang w:val="sr-Cyrl-CS"/>
        </w:rPr>
        <w:t>Саставни део овако ажурираног упутства представљају и:</w:t>
      </w:r>
    </w:p>
    <w:p w:rsidR="000F7178" w:rsidRDefault="000F7178" w:rsidP="000F7178">
      <w:pPr>
        <w:pStyle w:val="Default"/>
        <w:numPr>
          <w:ilvl w:val="0"/>
          <w:numId w:val="3"/>
        </w:numPr>
        <w:jc w:val="both"/>
        <w:rPr>
          <w:sz w:val="28"/>
          <w:szCs w:val="28"/>
          <w:lang w:val="sr-Cyrl-CS"/>
        </w:rPr>
      </w:pPr>
      <w:r>
        <w:rPr>
          <w:sz w:val="28"/>
          <w:szCs w:val="28"/>
          <w:lang w:val="sr-Cyrl-CS"/>
        </w:rPr>
        <w:t>Иновирано упутство за припрему програмског буџета Министарства финансија</w:t>
      </w:r>
    </w:p>
    <w:p w:rsidR="000F7178" w:rsidRDefault="000F7178" w:rsidP="000F7178">
      <w:pPr>
        <w:pStyle w:val="Default"/>
        <w:numPr>
          <w:ilvl w:val="0"/>
          <w:numId w:val="3"/>
        </w:numPr>
        <w:jc w:val="both"/>
        <w:rPr>
          <w:sz w:val="28"/>
          <w:szCs w:val="28"/>
          <w:lang w:val="sr-Cyrl-CS"/>
        </w:rPr>
      </w:pPr>
      <w:r>
        <w:rPr>
          <w:sz w:val="28"/>
          <w:szCs w:val="28"/>
          <w:lang w:val="sr-Cyrl-CS"/>
        </w:rPr>
        <w:t>Циљеви програма и програмских активности и листа униформних индикатора за 2017. Годину</w:t>
      </w:r>
    </w:p>
    <w:p w:rsidR="000F7178" w:rsidRDefault="000F7178" w:rsidP="000F7178">
      <w:pPr>
        <w:pStyle w:val="Default"/>
        <w:numPr>
          <w:ilvl w:val="0"/>
          <w:numId w:val="3"/>
        </w:numPr>
        <w:jc w:val="both"/>
        <w:rPr>
          <w:sz w:val="28"/>
          <w:szCs w:val="28"/>
          <w:lang w:val="sr-Cyrl-CS"/>
        </w:rPr>
      </w:pPr>
      <w:r>
        <w:rPr>
          <w:sz w:val="28"/>
          <w:szCs w:val="28"/>
          <w:lang w:val="sr-Cyrl-CS"/>
        </w:rPr>
        <w:t>Упутство за увођење родно одговорног буџетирања Републике Србије</w:t>
      </w:r>
    </w:p>
    <w:p w:rsidR="000F7178" w:rsidRDefault="000F7178" w:rsidP="000F7178">
      <w:pPr>
        <w:pStyle w:val="Default"/>
        <w:numPr>
          <w:ilvl w:val="0"/>
          <w:numId w:val="3"/>
        </w:numPr>
        <w:jc w:val="both"/>
        <w:rPr>
          <w:sz w:val="28"/>
          <w:szCs w:val="28"/>
          <w:lang w:val="sr-Cyrl-CS"/>
        </w:rPr>
      </w:pPr>
      <w:r>
        <w:rPr>
          <w:sz w:val="28"/>
          <w:szCs w:val="28"/>
          <w:lang w:val="sr-Cyrl-CS"/>
        </w:rPr>
        <w:t>Обрасци финансијског плана по методологији програмског буџетирања</w:t>
      </w:r>
    </w:p>
    <w:p w:rsidR="000F7178" w:rsidRDefault="000F7178" w:rsidP="000F7178">
      <w:pPr>
        <w:pStyle w:val="Default"/>
        <w:numPr>
          <w:ilvl w:val="0"/>
          <w:numId w:val="3"/>
        </w:numPr>
        <w:jc w:val="both"/>
        <w:rPr>
          <w:sz w:val="28"/>
          <w:szCs w:val="28"/>
          <w:lang w:val="sr-Cyrl-CS"/>
        </w:rPr>
      </w:pPr>
      <w:r>
        <w:rPr>
          <w:sz w:val="28"/>
          <w:szCs w:val="28"/>
          <w:lang w:val="sr-Cyrl-CS"/>
        </w:rPr>
        <w:t>Табеларни прилози од 1 до 3 Министарства финансија</w:t>
      </w:r>
    </w:p>
    <w:p w:rsidR="000F7178" w:rsidRDefault="000F7178" w:rsidP="000F7178">
      <w:pPr>
        <w:pStyle w:val="Default"/>
        <w:ind w:left="927"/>
        <w:jc w:val="both"/>
        <w:rPr>
          <w:sz w:val="28"/>
          <w:szCs w:val="28"/>
          <w:lang w:val="sr-Cyrl-CS"/>
        </w:rPr>
      </w:pPr>
    </w:p>
    <w:p w:rsidR="000F7178" w:rsidRPr="001A743D" w:rsidRDefault="000F7178" w:rsidP="000F7178">
      <w:pPr>
        <w:pStyle w:val="Default"/>
        <w:ind w:firstLine="567"/>
        <w:jc w:val="both"/>
        <w:rPr>
          <w:sz w:val="28"/>
          <w:szCs w:val="28"/>
          <w:lang w:val="sr-Cyrl-CS"/>
        </w:rPr>
      </w:pPr>
    </w:p>
    <w:p w:rsidR="000F7178" w:rsidRDefault="000F7178" w:rsidP="000F7178">
      <w:pPr>
        <w:pStyle w:val="Default"/>
        <w:ind w:firstLine="567"/>
        <w:jc w:val="center"/>
        <w:rPr>
          <w:b/>
          <w:i/>
          <w:sz w:val="28"/>
          <w:szCs w:val="28"/>
          <w:lang w:val="sr-Cyrl-CS"/>
        </w:rPr>
      </w:pPr>
    </w:p>
    <w:p w:rsidR="000F7178" w:rsidRPr="006C7B9C" w:rsidRDefault="000F7178" w:rsidP="000F7178">
      <w:pPr>
        <w:pStyle w:val="Default"/>
        <w:ind w:firstLine="567"/>
        <w:jc w:val="center"/>
        <w:rPr>
          <w:b/>
          <w:i/>
          <w:sz w:val="28"/>
          <w:szCs w:val="28"/>
          <w:lang w:val="sr-Cyrl-CS"/>
        </w:rPr>
      </w:pPr>
      <w:r w:rsidRPr="006C7B9C">
        <w:rPr>
          <w:b/>
          <w:i/>
          <w:sz w:val="28"/>
          <w:szCs w:val="28"/>
          <w:lang w:val="sr-Cyrl-CS"/>
        </w:rPr>
        <w:t>ОДЕЉЕЊЕ ЗА ФИНАНСИЈЕ И ПРИВРЕДУ</w:t>
      </w:r>
    </w:p>
    <w:p w:rsidR="000F7178" w:rsidRPr="006C7B9C" w:rsidRDefault="000F7178" w:rsidP="000F7178">
      <w:pPr>
        <w:pStyle w:val="Default"/>
        <w:ind w:firstLine="567"/>
        <w:jc w:val="center"/>
        <w:rPr>
          <w:b/>
          <w:i/>
          <w:sz w:val="28"/>
          <w:szCs w:val="28"/>
          <w:lang w:val="sr-Cyrl-CS"/>
        </w:rPr>
      </w:pPr>
      <w:r w:rsidRPr="006C7B9C">
        <w:rPr>
          <w:b/>
          <w:i/>
          <w:sz w:val="28"/>
          <w:szCs w:val="28"/>
          <w:lang w:val="sr-Cyrl-CS"/>
        </w:rPr>
        <w:t>ОПШТИНСКЕ УПРАВЕ ВЛАДИЧИН ХАН</w:t>
      </w:r>
    </w:p>
    <w:sectPr w:rsidR="000F7178" w:rsidRPr="006C7B9C" w:rsidSect="00E82E7D">
      <w:pgSz w:w="12240" w:h="15840"/>
      <w:pgMar w:top="1440" w:right="81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37D1A"/>
    <w:multiLevelType w:val="hybridMultilevel"/>
    <w:tmpl w:val="4F88819E"/>
    <w:lvl w:ilvl="0" w:tplc="2542A9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5466016"/>
    <w:multiLevelType w:val="hybridMultilevel"/>
    <w:tmpl w:val="B8FC4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7C6A17"/>
    <w:multiLevelType w:val="hybridMultilevel"/>
    <w:tmpl w:val="2250E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D02DA"/>
    <w:rsid w:val="00010F00"/>
    <w:rsid w:val="000851BA"/>
    <w:rsid w:val="000B2A3A"/>
    <w:rsid w:val="000E2B36"/>
    <w:rsid w:val="000E613A"/>
    <w:rsid w:val="000F7178"/>
    <w:rsid w:val="00123499"/>
    <w:rsid w:val="00161801"/>
    <w:rsid w:val="00221B81"/>
    <w:rsid w:val="002D168D"/>
    <w:rsid w:val="002D1ECC"/>
    <w:rsid w:val="002F685F"/>
    <w:rsid w:val="00387E95"/>
    <w:rsid w:val="003E051B"/>
    <w:rsid w:val="00402BFB"/>
    <w:rsid w:val="004347DB"/>
    <w:rsid w:val="00452569"/>
    <w:rsid w:val="004D1924"/>
    <w:rsid w:val="00502863"/>
    <w:rsid w:val="00513335"/>
    <w:rsid w:val="005522E4"/>
    <w:rsid w:val="005708B6"/>
    <w:rsid w:val="00581F28"/>
    <w:rsid w:val="0058666F"/>
    <w:rsid w:val="005B71D9"/>
    <w:rsid w:val="005D382A"/>
    <w:rsid w:val="00662C0F"/>
    <w:rsid w:val="006C7B9C"/>
    <w:rsid w:val="006E2A09"/>
    <w:rsid w:val="0070292F"/>
    <w:rsid w:val="00713DC8"/>
    <w:rsid w:val="00773241"/>
    <w:rsid w:val="00777608"/>
    <w:rsid w:val="0079224C"/>
    <w:rsid w:val="007D02DA"/>
    <w:rsid w:val="007D765B"/>
    <w:rsid w:val="007F4E4E"/>
    <w:rsid w:val="007F5B06"/>
    <w:rsid w:val="00811203"/>
    <w:rsid w:val="00814B16"/>
    <w:rsid w:val="00834041"/>
    <w:rsid w:val="008E3F84"/>
    <w:rsid w:val="008E503A"/>
    <w:rsid w:val="009042BF"/>
    <w:rsid w:val="009546EF"/>
    <w:rsid w:val="0097165C"/>
    <w:rsid w:val="00974295"/>
    <w:rsid w:val="009C665A"/>
    <w:rsid w:val="00A321A9"/>
    <w:rsid w:val="00AD22BF"/>
    <w:rsid w:val="00B5060B"/>
    <w:rsid w:val="00B921F9"/>
    <w:rsid w:val="00BC186A"/>
    <w:rsid w:val="00BE4D76"/>
    <w:rsid w:val="00BF57C6"/>
    <w:rsid w:val="00CA65E8"/>
    <w:rsid w:val="00CA72C0"/>
    <w:rsid w:val="00CB115F"/>
    <w:rsid w:val="00CF3723"/>
    <w:rsid w:val="00D15F2C"/>
    <w:rsid w:val="00D46AD3"/>
    <w:rsid w:val="00D73225"/>
    <w:rsid w:val="00E82E7D"/>
    <w:rsid w:val="00EF0A9E"/>
    <w:rsid w:val="00F23DB5"/>
    <w:rsid w:val="00F7120F"/>
    <w:rsid w:val="00FD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DA"/>
    <w:pPr>
      <w:spacing w:after="60" w:line="210" w:lineRule="exact"/>
      <w:ind w:firstLine="567"/>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A0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E051B"/>
    <w:rPr>
      <w:color w:val="0000FF" w:themeColor="hyperlink"/>
      <w:u w:val="single"/>
    </w:rPr>
  </w:style>
  <w:style w:type="table" w:styleId="TableGrid">
    <w:name w:val="Table Grid"/>
    <w:basedOn w:val="TableNormal"/>
    <w:uiPriority w:val="59"/>
    <w:rsid w:val="00CA7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65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ladidcinhan.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go.org" TargetMode="External"/><Relationship Id="rId5" Type="http://schemas.openxmlformats.org/officeDocument/2006/relationships/hyperlink" Target="http://www.mfin.gov.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Branka</cp:lastModifiedBy>
  <cp:revision>4</cp:revision>
  <dcterms:created xsi:type="dcterms:W3CDTF">2016-11-18T10:21:00Z</dcterms:created>
  <dcterms:modified xsi:type="dcterms:W3CDTF">2016-11-18T12:32:00Z</dcterms:modified>
</cp:coreProperties>
</file>